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Standards – Gas and Power Operations</w:t>
      </w:r>
    </w:p>
    <w:p>
      <w:pPr>
        <w:pStyle w:val="Normal"/>
        <w:rPr/>
      </w:pPr>
      <w:r>
        <w:rPr/>
      </w:r>
    </w:p>
    <w:p>
      <w:pPr>
        <w:pStyle w:val="Normal"/>
        <w:rPr/>
      </w:pPr>
      <w:r>
        <w:rPr/>
      </w:r>
    </w:p>
    <w:p>
      <w:pPr>
        <w:pStyle w:val="Normal"/>
        <w:rPr/>
      </w:pPr>
      <w:r>
        <w:rPr/>
      </w:r>
    </w:p>
    <w:p>
      <w:pPr>
        <w:pStyle w:val="Normal"/>
        <w:rPr/>
      </w:pPr>
      <w:r>
        <w:rPr/>
        <w:t>Note:  All standards relate to both Physical and Financial Gas and Power, except as indicated.</w:t>
      </w:r>
    </w:p>
    <w:p>
      <w:pPr>
        <w:pStyle w:val="Normal"/>
        <w:rPr/>
      </w:pPr>
      <w:r>
        <w:rPr/>
      </w:r>
    </w:p>
    <w:p>
      <w:pPr>
        <w:pStyle w:val="Normal"/>
        <w:rPr/>
      </w:pPr>
      <w:r>
        <w:rPr/>
      </w:r>
    </w:p>
    <w:p>
      <w:pPr>
        <w:pStyle w:val="Heading2"/>
        <w:ind w:hanging="0" w:start="0"/>
        <w:rPr/>
      </w:pPr>
      <w:r>
        <w:rPr/>
        <w:t>Logistics (Gas)</w:t>
      </w:r>
    </w:p>
    <w:p>
      <w:pPr>
        <w:pStyle w:val="Normal"/>
        <w:jc w:val="both"/>
        <w:rPr/>
      </w:pPr>
      <w:r>
        <w:rPr/>
      </w:r>
    </w:p>
    <w:p>
      <w:pPr>
        <w:pStyle w:val="Normal"/>
        <w:numPr>
          <w:ilvl w:val="0"/>
          <w:numId w:val="4"/>
        </w:numPr>
        <w:jc w:val="both"/>
        <w:rPr>
          <w:sz w:val="24"/>
        </w:rPr>
      </w:pPr>
      <w:r>
        <w:rPr/>
        <w:t>Next day and Intraday nominations are submitted accurately and on a timely basis to the pipelines (by the FERC and LDC deadlines).</w:t>
      </w:r>
    </w:p>
    <w:p>
      <w:pPr>
        <w:pStyle w:val="Normal"/>
        <w:jc w:val="both"/>
        <w:rPr>
          <w:sz w:val="24"/>
        </w:rPr>
      </w:pPr>
      <w:r>
        <w:rPr>
          <w:sz w:val="24"/>
        </w:rPr>
      </w:r>
    </w:p>
    <w:p>
      <w:pPr>
        <w:pStyle w:val="Normal"/>
        <w:numPr>
          <w:ilvl w:val="0"/>
          <w:numId w:val="13"/>
        </w:numPr>
        <w:jc w:val="both"/>
        <w:rPr>
          <w:sz w:val="24"/>
        </w:rPr>
      </w:pPr>
      <w:r>
        <w:rPr/>
        <w:t>Scheduling information is recorded accurately and timely.</w:t>
      </w:r>
    </w:p>
    <w:p>
      <w:pPr>
        <w:pStyle w:val="Normal"/>
        <w:jc w:val="both"/>
        <w:rPr>
          <w:sz w:val="24"/>
        </w:rPr>
      </w:pPr>
      <w:r>
        <w:rPr>
          <w:sz w:val="24"/>
        </w:rPr>
      </w:r>
    </w:p>
    <w:p>
      <w:pPr>
        <w:pStyle w:val="Normal"/>
        <w:numPr>
          <w:ilvl w:val="0"/>
          <w:numId w:val="6"/>
        </w:numPr>
        <w:jc w:val="both"/>
        <w:rPr>
          <w:sz w:val="24"/>
        </w:rPr>
      </w:pPr>
      <w:r>
        <w:rPr/>
        <w:t>All necessary information is communicated to external counterparties accurately and timely to allow them to submit their nominations and to support trading relationships.</w:t>
      </w:r>
    </w:p>
    <w:p>
      <w:pPr>
        <w:pStyle w:val="Normal"/>
        <w:jc w:val="both"/>
        <w:rPr>
          <w:sz w:val="24"/>
        </w:rPr>
      </w:pPr>
      <w:r>
        <w:rPr>
          <w:sz w:val="24"/>
        </w:rPr>
      </w:r>
    </w:p>
    <w:p>
      <w:pPr>
        <w:pStyle w:val="BodyTextIndent"/>
        <w:numPr>
          <w:ilvl w:val="0"/>
          <w:numId w:val="2"/>
        </w:numPr>
        <w:jc w:val="both"/>
        <w:rPr>
          <w:sz w:val="20"/>
        </w:rPr>
      </w:pPr>
      <w:r>
        <w:rPr>
          <w:sz w:val="20"/>
        </w:rPr>
        <w:t>Pipeline scheduled quantities are viewed as soon as available (by the FERC and LDC deadlines) and updated in our internal systems. Information on variances from planned nominations are communicated to the Commercial team as necessary.</w:t>
      </w:r>
    </w:p>
    <w:p>
      <w:pPr>
        <w:pStyle w:val="BodyTextIndent"/>
        <w:tabs>
          <w:tab w:val="clear" w:pos="360"/>
        </w:tabs>
        <w:ind w:hanging="0" w:start="0" w:end="0"/>
        <w:jc w:val="both"/>
        <w:rPr>
          <w:sz w:val="20"/>
        </w:rPr>
      </w:pPr>
      <w:r>
        <w:rPr>
          <w:sz w:val="20"/>
        </w:rPr>
      </w:r>
    </w:p>
    <w:p>
      <w:pPr>
        <w:pStyle w:val="Normal"/>
        <w:jc w:val="both"/>
        <w:rPr>
          <w:sz w:val="20"/>
        </w:rPr>
      </w:pPr>
      <w:r>
        <w:rPr>
          <w:sz w:val="20"/>
        </w:rPr>
      </w:r>
    </w:p>
    <w:p>
      <w:pPr>
        <w:pStyle w:val="Heading3"/>
        <w:ind w:hanging="0" w:start="0"/>
        <w:rPr/>
      </w:pPr>
      <w:r>
        <w:rPr/>
        <w:t>Risk Management</w:t>
      </w:r>
    </w:p>
    <w:p>
      <w:pPr>
        <w:pStyle w:val="Normal"/>
        <w:jc w:val="both"/>
        <w:rPr/>
      </w:pPr>
      <w:r>
        <w:rPr/>
      </w:r>
    </w:p>
    <w:p>
      <w:pPr>
        <w:pStyle w:val="Normal"/>
        <w:numPr>
          <w:ilvl w:val="0"/>
          <w:numId w:val="21"/>
        </w:numPr>
        <w:jc w:val="both"/>
        <w:rPr/>
      </w:pPr>
      <w:r>
        <w:rPr/>
        <w:t>Daily management reporting is timely and accurate (Regional P&amp;L/Positions, NGP&amp;L, Benchmark).</w:t>
      </w:r>
    </w:p>
    <w:p>
      <w:pPr>
        <w:pStyle w:val="Normal"/>
        <w:jc w:val="both"/>
        <w:rPr/>
      </w:pPr>
      <w:r>
        <w:rPr/>
      </w:r>
    </w:p>
    <w:p>
      <w:pPr>
        <w:pStyle w:val="Normal"/>
        <w:numPr>
          <w:ilvl w:val="0"/>
          <w:numId w:val="19"/>
        </w:numPr>
        <w:tabs>
          <w:tab w:val="clear" w:pos="720"/>
        </w:tabs>
        <w:jc w:val="both"/>
        <w:rPr/>
      </w:pPr>
      <w:r>
        <w:rPr/>
        <w:t>Deals are recorded in the risk books the same day Risk Management is notified about them (excludes deals input by traders) – Gas.</w:t>
      </w:r>
    </w:p>
    <w:p>
      <w:pPr>
        <w:pStyle w:val="Normal"/>
        <w:jc w:val="both"/>
        <w:rPr/>
      </w:pPr>
      <w:r>
        <w:rPr/>
      </w:r>
    </w:p>
    <w:p>
      <w:pPr>
        <w:pStyle w:val="Normal"/>
        <w:numPr>
          <w:ilvl w:val="0"/>
          <w:numId w:val="14"/>
        </w:numPr>
        <w:jc w:val="both"/>
        <w:rPr/>
      </w:pPr>
      <w:r>
        <w:rPr/>
        <w:t>Deals are recorded accurately and timely (MTM, correct economic terms, correct counterparty and contract).</w:t>
      </w:r>
    </w:p>
    <w:p>
      <w:pPr>
        <w:pStyle w:val="Normal"/>
        <w:jc w:val="both"/>
        <w:rPr/>
      </w:pPr>
      <w:r>
        <w:rPr/>
      </w:r>
    </w:p>
    <w:p>
      <w:pPr>
        <w:pStyle w:val="Normal"/>
        <w:numPr>
          <w:ilvl w:val="0"/>
          <w:numId w:val="16"/>
        </w:numPr>
        <w:jc w:val="both"/>
        <w:rPr/>
      </w:pPr>
      <w:r>
        <w:rPr/>
        <w:t>All books are run nightly and marked official.</w:t>
      </w:r>
    </w:p>
    <w:p>
      <w:pPr>
        <w:pStyle w:val="Normal"/>
        <w:jc w:val="both"/>
        <w:rPr/>
      </w:pPr>
      <w:r>
        <w:rPr/>
      </w:r>
    </w:p>
    <w:p>
      <w:pPr>
        <w:pStyle w:val="Normal"/>
        <w:numPr>
          <w:ilvl w:val="0"/>
          <w:numId w:val="5"/>
        </w:numPr>
        <w:jc w:val="both"/>
        <w:rPr/>
      </w:pPr>
      <w:r>
        <w:rPr/>
        <w:t>Operating system data matches General Ledger data – Sitara to Unify.</w:t>
      </w:r>
    </w:p>
    <w:p>
      <w:pPr>
        <w:pStyle w:val="Normal"/>
        <w:jc w:val="both"/>
        <w:rPr/>
      </w:pPr>
      <w:r>
        <w:rPr/>
      </w:r>
    </w:p>
    <w:p>
      <w:pPr>
        <w:pStyle w:val="Normal"/>
        <w:numPr>
          <w:ilvl w:val="0"/>
          <w:numId w:val="22"/>
        </w:numPr>
        <w:jc w:val="both"/>
        <w:rPr/>
      </w:pPr>
      <w:r>
        <w:rPr/>
        <w:t>Schedule C reserves are reviewed by management on a regular basis.</w:t>
      </w:r>
    </w:p>
    <w:p>
      <w:pPr>
        <w:pStyle w:val="Normal"/>
        <w:jc w:val="both"/>
        <w:rPr/>
      </w:pPr>
      <w:r>
        <w:rPr/>
      </w:r>
    </w:p>
    <w:p>
      <w:pPr>
        <w:pStyle w:val="Normal"/>
        <w:numPr>
          <w:ilvl w:val="0"/>
          <w:numId w:val="7"/>
        </w:numPr>
        <w:jc w:val="both"/>
        <w:rPr/>
      </w:pPr>
      <w:r>
        <w:rPr/>
        <w:t>P&amp;L adjustments are recognized as soon as variance is known.</w:t>
      </w:r>
    </w:p>
    <w:p>
      <w:pPr>
        <w:pStyle w:val="Normal"/>
        <w:jc w:val="both"/>
        <w:rPr/>
      </w:pPr>
      <w:r>
        <w:rPr/>
      </w:r>
    </w:p>
    <w:p>
      <w:pPr>
        <w:pStyle w:val="Normal"/>
        <w:jc w:val="both"/>
        <w:rPr/>
      </w:pPr>
      <w:r>
        <w:rPr/>
      </w:r>
    </w:p>
    <w:p>
      <w:pPr>
        <w:pStyle w:val="Normal"/>
        <w:jc w:val="both"/>
        <w:rPr/>
      </w:pPr>
      <w:r>
        <w:rPr/>
      </w:r>
    </w:p>
    <w:p>
      <w:pPr>
        <w:pStyle w:val="Heading3"/>
        <w:ind w:hanging="0" w:start="0"/>
        <w:rPr/>
      </w:pPr>
      <w:r>
        <w:rPr/>
        <w:t>Transport Rates</w:t>
      </w:r>
    </w:p>
    <w:p>
      <w:pPr>
        <w:pStyle w:val="Normal"/>
        <w:jc w:val="both"/>
        <w:rPr/>
      </w:pPr>
      <w:r>
        <w:rPr/>
      </w:r>
    </w:p>
    <w:p>
      <w:pPr>
        <w:pStyle w:val="Normal"/>
        <w:numPr>
          <w:ilvl w:val="0"/>
          <w:numId w:val="17"/>
        </w:numPr>
        <w:tabs>
          <w:tab w:val="clear" w:pos="720"/>
        </w:tabs>
        <w:jc w:val="both"/>
        <w:rPr/>
      </w:pPr>
      <w:r>
        <w:rPr/>
        <w:t>Transport rates are recorded in an accurate and timely manner.</w:t>
      </w:r>
    </w:p>
    <w:p>
      <w:pPr>
        <w:pStyle w:val="Normal"/>
        <w:jc w:val="both"/>
        <w:rPr/>
      </w:pPr>
      <w:r>
        <w:rPr/>
      </w:r>
    </w:p>
    <w:p>
      <w:pPr>
        <w:pStyle w:val="Normal"/>
        <w:jc w:val="both"/>
        <w:rPr/>
      </w:pPr>
      <w:r>
        <w:rPr/>
      </w:r>
    </w:p>
    <w:p>
      <w:pPr>
        <w:pStyle w:val="Heading3"/>
        <w:ind w:hanging="0" w:start="0"/>
        <w:rPr/>
      </w:pPr>
      <w:r>
        <w:rPr/>
        <w:t>Confirmations</w:t>
      </w:r>
    </w:p>
    <w:p>
      <w:pPr>
        <w:pStyle w:val="Normal"/>
        <w:jc w:val="both"/>
        <w:rPr/>
      </w:pPr>
      <w:r>
        <w:rPr/>
      </w:r>
    </w:p>
    <w:p>
      <w:pPr>
        <w:pStyle w:val="Normal"/>
        <w:numPr>
          <w:ilvl w:val="0"/>
          <w:numId w:val="18"/>
        </w:numPr>
        <w:jc w:val="both"/>
        <w:rPr/>
      </w:pPr>
      <w:r>
        <w:rPr/>
        <w:t>Confirmations for all deals are generated and sent to counterparties within 24 hours, with any exceptions noted and reviewed by management on a regular basis.</w:t>
      </w:r>
    </w:p>
    <w:p>
      <w:pPr>
        <w:pStyle w:val="Normal"/>
        <w:jc w:val="both"/>
        <w:rPr/>
      </w:pPr>
      <w:r>
        <w:rPr/>
      </w:r>
    </w:p>
    <w:p>
      <w:pPr>
        <w:pStyle w:val="Normal"/>
        <w:numPr>
          <w:ilvl w:val="0"/>
          <w:numId w:val="18"/>
        </w:numPr>
        <w:jc w:val="both"/>
        <w:rPr/>
      </w:pPr>
      <w:r>
        <w:rPr/>
        <w:t>All brokered deals are checked-out with the brokers within 24 hours and discrepancies resolved within 48 hours.</w:t>
      </w:r>
    </w:p>
    <w:p>
      <w:pPr>
        <w:pStyle w:val="Normal"/>
        <w:jc w:val="both"/>
        <w:rPr/>
      </w:pPr>
      <w:r>
        <w:rPr/>
      </w:r>
    </w:p>
    <w:p>
      <w:pPr>
        <w:pStyle w:val="Normal"/>
        <w:numPr>
          <w:ilvl w:val="0"/>
          <w:numId w:val="18"/>
        </w:numPr>
        <w:jc w:val="both"/>
        <w:rPr/>
      </w:pPr>
      <w:r>
        <w:rPr/>
        <w:t>All non-brokered financial deals are verbally checked-out with the counterparties within 48 hours.</w:t>
      </w:r>
    </w:p>
    <w:p>
      <w:pPr>
        <w:pStyle w:val="Normal"/>
        <w:jc w:val="both"/>
        <w:rPr/>
      </w:pPr>
      <w:r>
        <w:rPr/>
      </w:r>
    </w:p>
    <w:p>
      <w:pPr>
        <w:pStyle w:val="Normal"/>
        <w:numPr>
          <w:ilvl w:val="0"/>
          <w:numId w:val="10"/>
        </w:numPr>
        <w:jc w:val="both"/>
        <w:rPr/>
      </w:pPr>
      <w:r>
        <w:rPr/>
        <w:t>All required confirmations are executed within 10 business days with exceptions noted and communicated to Legal and Commercial ; maintain a ___% execution rate.</w:t>
      </w:r>
    </w:p>
    <w:p>
      <w:pPr>
        <w:pStyle w:val="Normal"/>
        <w:jc w:val="both"/>
        <w:rPr/>
      </w:pPr>
      <w:r>
        <w:rPr/>
      </w:r>
    </w:p>
    <w:p>
      <w:pPr>
        <w:pStyle w:val="Normal"/>
        <w:numPr>
          <w:ilvl w:val="0"/>
          <w:numId w:val="3"/>
        </w:numPr>
        <w:jc w:val="both"/>
        <w:rPr/>
      </w:pPr>
      <w:r>
        <w:rPr/>
        <w:t>Third-party generated confirmations are verified against system information prior to execution.</w:t>
      </w:r>
    </w:p>
    <w:p>
      <w:pPr>
        <w:pStyle w:val="Normal"/>
        <w:jc w:val="both"/>
        <w:rPr/>
      </w:pPr>
      <w:r>
        <w:rPr/>
      </w:r>
    </w:p>
    <w:p>
      <w:pPr>
        <w:pStyle w:val="Normal"/>
        <w:numPr>
          <w:ilvl w:val="0"/>
          <w:numId w:val="20"/>
        </w:numPr>
        <w:jc w:val="both"/>
        <w:rPr/>
      </w:pPr>
      <w:r>
        <w:rPr/>
        <w:t>Third-party confirmation report is monitored to ensure all confirmations are received and executed within 24 hours of receipt.</w:t>
      </w:r>
    </w:p>
    <w:p>
      <w:pPr>
        <w:pStyle w:val="Normal"/>
        <w:jc w:val="both"/>
        <w:rPr/>
      </w:pPr>
      <w:r>
        <w:rPr/>
      </w:r>
    </w:p>
    <w:p>
      <w:pPr>
        <w:pStyle w:val="Normal"/>
        <w:numPr>
          <w:ilvl w:val="0"/>
          <w:numId w:val="15"/>
        </w:numPr>
        <w:jc w:val="both"/>
        <w:rPr/>
      </w:pPr>
      <w:r>
        <w:rPr/>
        <w:t>Returned ENA generated confirmations are reviewed for revisions/changes on same day of receipt.  Resolution of changes occurs within 48 hours and revised confirmation sent, if applicable.</w:t>
      </w:r>
    </w:p>
    <w:p>
      <w:pPr>
        <w:pStyle w:val="Normal"/>
        <w:jc w:val="both"/>
        <w:rPr/>
      </w:pPr>
      <w:r>
        <w:rPr/>
      </w:r>
    </w:p>
    <w:p>
      <w:pPr>
        <w:pStyle w:val="Heading3"/>
        <w:ind w:hanging="0" w:start="0"/>
        <w:rPr/>
      </w:pPr>
      <w:r>
        <w:rPr/>
        <w:t>Settlements</w:t>
      </w:r>
    </w:p>
    <w:p>
      <w:pPr>
        <w:pStyle w:val="Normal"/>
        <w:jc w:val="both"/>
        <w:rPr/>
      </w:pPr>
      <w:r>
        <w:rPr/>
      </w:r>
    </w:p>
    <w:p>
      <w:pPr>
        <w:pStyle w:val="Normal"/>
        <w:numPr>
          <w:ilvl w:val="0"/>
          <w:numId w:val="9"/>
        </w:numPr>
        <w:tabs>
          <w:tab w:val="clear" w:pos="720"/>
          <w:tab w:val="left" w:pos="405" w:leader="none"/>
        </w:tabs>
        <w:ind w:hanging="360" w:start="405" w:end="0"/>
        <w:jc w:val="both"/>
        <w:rPr/>
      </w:pPr>
      <w:r>
        <w:rPr/>
        <w:t>Invoices are generated and sent and payments are made in accordance with the contracts (timely and accurately).</w:t>
      </w:r>
    </w:p>
    <w:p>
      <w:pPr>
        <w:pStyle w:val="Normal"/>
        <w:jc w:val="both"/>
        <w:rPr/>
      </w:pPr>
      <w:r>
        <w:rPr/>
      </w:r>
    </w:p>
    <w:p>
      <w:pPr>
        <w:pStyle w:val="Normal"/>
        <w:numPr>
          <w:ilvl w:val="0"/>
          <w:numId w:val="12"/>
        </w:numPr>
        <w:jc w:val="both"/>
        <w:rPr/>
      </w:pPr>
      <w:r>
        <w:rPr/>
        <w:t>Accounts are reconciled monthly and variances are cleared within 30 days of identification (A/R, A/P, flash to actual exposure, intercompany accounts, UA4, suspense).</w:t>
      </w:r>
    </w:p>
    <w:p>
      <w:pPr>
        <w:pStyle w:val="Normal"/>
        <w:jc w:val="both"/>
        <w:rPr/>
      </w:pPr>
      <w:r>
        <w:rPr/>
      </w:r>
    </w:p>
    <w:p>
      <w:pPr>
        <w:pStyle w:val="Normal"/>
        <w:numPr>
          <w:ilvl w:val="0"/>
          <w:numId w:val="11"/>
        </w:numPr>
        <w:jc w:val="both"/>
        <w:rPr/>
      </w:pPr>
      <w:r>
        <w:rPr/>
        <w:t>Cash collections are timely; cash forecasting is accurate.</w:t>
      </w:r>
    </w:p>
    <w:p>
      <w:pPr>
        <w:pStyle w:val="Normal"/>
        <w:jc w:val="both"/>
        <w:rPr/>
      </w:pPr>
      <w:r>
        <w:rPr/>
      </w:r>
    </w:p>
    <w:p>
      <w:pPr>
        <w:pStyle w:val="Normal"/>
        <w:numPr>
          <w:ilvl w:val="0"/>
          <w:numId w:val="5"/>
        </w:numPr>
        <w:jc w:val="both"/>
        <w:rPr/>
      </w:pPr>
      <w:r>
        <w:rPr/>
        <w:t>Operating system data matches General Ledger data</w:t>
      </w:r>
    </w:p>
    <w:p>
      <w:pPr>
        <w:pStyle w:val="Normal"/>
        <w:numPr>
          <w:ilvl w:val="0"/>
          <w:numId w:val="5"/>
        </w:numPr>
        <w:tabs>
          <w:tab w:val="left" w:pos="720" w:leader="none"/>
        </w:tabs>
        <w:ind w:hanging="360" w:start="720" w:end="0"/>
        <w:jc w:val="both"/>
        <w:rPr/>
      </w:pPr>
      <w:r>
        <w:rPr/>
        <w:t>Unify to General Ledger</w:t>
      </w:r>
    </w:p>
    <w:p>
      <w:pPr>
        <w:pStyle w:val="Normal"/>
        <w:numPr>
          <w:ilvl w:val="0"/>
          <w:numId w:val="5"/>
        </w:numPr>
        <w:tabs>
          <w:tab w:val="left" w:pos="720" w:leader="none"/>
        </w:tabs>
        <w:ind w:hanging="360" w:start="720" w:end="0"/>
        <w:jc w:val="both"/>
        <w:rPr/>
      </w:pPr>
      <w:r>
        <w:rPr/>
        <w:t xml:space="preserve">SIFT to General Ledger – Financial </w:t>
      </w:r>
    </w:p>
    <w:p>
      <w:pPr>
        <w:pStyle w:val="Normal"/>
        <w:numPr>
          <w:ilvl w:val="0"/>
          <w:numId w:val="5"/>
        </w:numPr>
        <w:tabs>
          <w:tab w:val="left" w:pos="720" w:leader="none"/>
        </w:tabs>
        <w:ind w:hanging="360" w:start="720" w:end="0"/>
        <w:jc w:val="both"/>
        <w:rPr/>
      </w:pPr>
      <w:r>
        <w:rPr/>
        <w:t xml:space="preserve">DPR to General Ledger </w:t>
      </w:r>
    </w:p>
    <w:p>
      <w:pPr>
        <w:pStyle w:val="Normal"/>
        <w:jc w:val="both"/>
        <w:rPr/>
      </w:pPr>
      <w:r>
        <w:rPr/>
      </w:r>
    </w:p>
    <w:p>
      <w:pPr>
        <w:pStyle w:val="Normal"/>
        <w:jc w:val="both"/>
        <w:rPr/>
      </w:pPr>
      <w:r>
        <w:rPr/>
      </w:r>
    </w:p>
    <w:p>
      <w:pPr>
        <w:pStyle w:val="Heading3"/>
        <w:ind w:hanging="0" w:start="0"/>
        <w:rPr/>
      </w:pPr>
      <w:r>
        <w:rPr/>
        <w:t>Volume Management</w:t>
      </w:r>
    </w:p>
    <w:p>
      <w:pPr>
        <w:pStyle w:val="Normal"/>
        <w:jc w:val="both"/>
        <w:rPr/>
      </w:pPr>
      <w:r>
        <w:rPr/>
      </w:r>
    </w:p>
    <w:p>
      <w:pPr>
        <w:pStyle w:val="Normal"/>
        <w:numPr>
          <w:ilvl w:val="0"/>
          <w:numId w:val="8"/>
        </w:numPr>
        <w:jc w:val="both"/>
        <w:rPr/>
      </w:pPr>
      <w:r>
        <w:rPr/>
        <w:t>Deals are actualized in an accurate and timely manner.</w:t>
      </w:r>
    </w:p>
    <w:p>
      <w:pPr>
        <w:pStyle w:val="Normal"/>
        <w:jc w:val="both"/>
        <w:rPr/>
      </w:pPr>
      <w:r>
        <w:rPr/>
      </w:r>
    </w:p>
    <w:p>
      <w:pPr>
        <w:pStyle w:val="Normal"/>
        <w:numPr>
          <w:ilvl w:val="0"/>
          <w:numId w:val="9"/>
        </w:numPr>
        <w:tabs>
          <w:tab w:val="clear" w:pos="720"/>
          <w:tab w:val="left" w:pos="405" w:leader="none"/>
        </w:tabs>
        <w:ind w:hanging="360" w:start="405" w:end="0"/>
        <w:jc w:val="both"/>
        <w:rPr/>
      </w:pPr>
      <w:r>
        <w:rPr/>
        <w:t>Invoices are generated and sent and payments are made in accordance with the contracts (timely and accurately).</w:t>
      </w:r>
    </w:p>
    <w:p>
      <w:pPr>
        <w:pStyle w:val="Normal"/>
        <w:jc w:val="both"/>
        <w:rPr/>
      </w:pPr>
      <w:r>
        <w:rPr/>
      </w:r>
    </w:p>
    <w:p>
      <w:pPr>
        <w:pStyle w:val="Normal"/>
        <w:numPr>
          <w:ilvl w:val="0"/>
          <w:numId w:val="12"/>
        </w:numPr>
        <w:jc w:val="both"/>
        <w:rPr/>
      </w:pPr>
      <w:r>
        <w:rPr/>
        <w:t>Accounts are reconciled monthly and variances are cleared within 30 days of identification (A/R, A/P, flash to actual exposure, intercompany accounts, UA4, suspense).</w:t>
      </w:r>
    </w:p>
    <w:p>
      <w:pPr>
        <w:pStyle w:val="Normal"/>
        <w:jc w:val="both"/>
        <w:rPr/>
      </w:pPr>
      <w:r>
        <w:rPr/>
      </w:r>
    </w:p>
    <w:p>
      <w:pPr>
        <w:pStyle w:val="Normal"/>
        <w:numPr>
          <w:ilvl w:val="0"/>
          <w:numId w:val="11"/>
        </w:numPr>
        <w:jc w:val="both"/>
        <w:rPr/>
      </w:pPr>
      <w:r>
        <w:rPr/>
        <w:t>Cash collections are timely; cash forecasting is accurate - Gas Assets.</w:t>
      </w:r>
    </w:p>
    <w:p>
      <w:pPr>
        <w:pStyle w:val="Normal"/>
        <w:jc w:val="both"/>
        <w:rPr/>
      </w:pPr>
      <w:r>
        <w:rPr/>
      </w:r>
    </w:p>
    <w:p>
      <w:pPr>
        <w:pStyle w:val="Normal"/>
        <w:numPr>
          <w:ilvl w:val="0"/>
          <w:numId w:val="5"/>
        </w:numPr>
        <w:jc w:val="both"/>
        <w:rPr/>
      </w:pPr>
      <w:r>
        <w:rPr/>
        <w:t>Operating system data matches General Ledger data</w:t>
      </w:r>
    </w:p>
    <w:p>
      <w:pPr>
        <w:pStyle w:val="Normal"/>
        <w:numPr>
          <w:ilvl w:val="0"/>
          <w:numId w:val="5"/>
        </w:numPr>
        <w:tabs>
          <w:tab w:val="left" w:pos="720" w:leader="none"/>
        </w:tabs>
        <w:ind w:hanging="360" w:start="720" w:end="0"/>
        <w:jc w:val="both"/>
        <w:rPr/>
      </w:pPr>
      <w:r>
        <w:rPr/>
        <w:t>Unify to General Ledger</w:t>
      </w:r>
    </w:p>
    <w:p>
      <w:pPr>
        <w:pStyle w:val="Normal"/>
        <w:jc w:val="both"/>
        <w:rPr/>
      </w:pPr>
      <w:r>
        <w:rPr/>
      </w:r>
    </w:p>
    <w:p>
      <w:pPr>
        <w:pStyle w:val="Normal"/>
        <w:jc w:val="both"/>
        <w:rPr/>
      </w:pPr>
      <w:r>
        <w:rPr/>
      </w:r>
    </w:p>
    <w:p>
      <w:pPr>
        <w:pStyle w:val="Heading3"/>
        <w:ind w:hanging="0" w:start="0"/>
        <w:rPr/>
      </w:pPr>
      <w:r>
        <w:rPr/>
        <w:t>Operational Analysis</w:t>
      </w:r>
    </w:p>
    <w:p>
      <w:pPr>
        <w:pStyle w:val="Normal"/>
        <w:jc w:val="both"/>
        <w:rPr/>
      </w:pPr>
      <w:r>
        <w:rPr/>
      </w:r>
    </w:p>
    <w:p>
      <w:pPr>
        <w:pStyle w:val="Normal"/>
        <w:numPr>
          <w:ilvl w:val="0"/>
          <w:numId w:val="12"/>
        </w:numPr>
        <w:jc w:val="both"/>
        <w:rPr/>
      </w:pPr>
      <w:r>
        <w:rPr/>
        <w:t>Accounts are reconciled monthly and variances are cleared within 30 days of identification (flash to actual exposure).</w:t>
      </w:r>
    </w:p>
    <w:p>
      <w:pPr>
        <w:pStyle w:val="Normal"/>
        <w:jc w:val="both"/>
        <w:rPr/>
      </w:pPr>
      <w:r>
        <w:rPr/>
      </w:r>
    </w:p>
    <w:p>
      <w:pPr>
        <w:pStyle w:val="Normal"/>
        <w:numPr>
          <w:ilvl w:val="0"/>
          <w:numId w:val="5"/>
        </w:numPr>
        <w:jc w:val="both"/>
        <w:rPr/>
      </w:pPr>
      <w:r>
        <w:rPr/>
        <w:t>Operating system data matches General Ledger data</w:t>
      </w:r>
    </w:p>
    <w:p>
      <w:pPr>
        <w:pStyle w:val="Normal"/>
        <w:numPr>
          <w:ilvl w:val="0"/>
          <w:numId w:val="5"/>
        </w:numPr>
        <w:tabs>
          <w:tab w:val="left" w:pos="720" w:leader="none"/>
        </w:tabs>
        <w:ind w:hanging="360" w:start="720" w:end="0"/>
        <w:jc w:val="both"/>
        <w:rPr/>
      </w:pPr>
      <w:r>
        <w:rPr/>
        <w:t>Operational Analysis – flash to actual</w:t>
      </w:r>
    </w:p>
    <w:p>
      <w:pPr>
        <w:pStyle w:val="Normal"/>
        <w:jc w:val="both"/>
        <w:rPr/>
      </w:pPr>
      <w:r>
        <w:rPr/>
      </w:r>
    </w:p>
    <w:p>
      <w:pPr>
        <w:pStyle w:val="Normal"/>
        <w:jc w:val="both"/>
        <w:rPr/>
      </w:pPr>
      <w:r>
        <w:rPr/>
      </w:r>
    </w:p>
    <w:sectPr>
      <w:headerReference w:type="default" r:id="rId2"/>
      <w:type w:val="nextPage"/>
      <w:pgSz w:w="12240" w:h="15840"/>
      <w:pgMar w:left="1800" w:right="1800" w:gutter="0" w:header="72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5">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6">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21">
    <w:lvl w:ilvl="0">
      <w:start w:val="1"/>
      <w:numFmt w:val="bullet"/>
      <w:lvlText w:val=""/>
      <w:lvlJc w:val="start"/>
      <w:pPr>
        <w:tabs>
          <w:tab w:val="num" w:pos="360"/>
        </w:tabs>
        <w:ind w:start="360" w:hanging="360"/>
      </w:pPr>
      <w:rPr>
        <w:rFonts w:ascii="Symbol" w:hAnsi="Symbol" w:cs="Symbol" w:hint="default"/>
        <w:color w:val="auto"/>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rFonts w:ascii="Symbol" w:hAnsi="Symbol" w:cs="Symbol"/>
      <w:color w:val="auto"/>
      <w:sz w:val="20"/>
    </w:rPr>
  </w:style>
  <w:style w:type="character" w:styleId="WW8Num4z0">
    <w:name w:val="WW8Num4z0"/>
    <w:qFormat/>
    <w:rPr>
      <w:rFonts w:ascii="Symbol" w:hAnsi="Symbol" w:cs="Symbol"/>
      <w:color w:val="auto"/>
      <w:sz w:val="20"/>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color w:val="auto"/>
      <w:sz w:val="20"/>
    </w:rPr>
  </w:style>
  <w:style w:type="character" w:styleId="WW8Num11z0">
    <w:name w:val="WW8Num11z0"/>
    <w:qFormat/>
    <w:rPr>
      <w:rFonts w:ascii="Symbol" w:hAnsi="Symbol" w:cs="Symbol"/>
      <w:color w:val="auto"/>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20"/>
    </w:rPr>
  </w:style>
  <w:style w:type="character" w:styleId="WW8Num14z0">
    <w:name w:val="WW8Num14z0"/>
    <w:qFormat/>
    <w:rPr>
      <w:rFonts w:ascii="Symbol" w:hAnsi="Symbol" w:cs="Symbol"/>
      <w:color w:val="auto"/>
      <w:sz w:val="20"/>
    </w:rPr>
  </w:style>
  <w:style w:type="character" w:styleId="WW8Num15z0">
    <w:name w:val="WW8Num15z0"/>
    <w:qFormat/>
    <w:rPr>
      <w:rFonts w:ascii="Wingdings" w:hAnsi="Wingdings" w:cs="Wingdings"/>
    </w:rPr>
  </w:style>
  <w:style w:type="character" w:styleId="WW8Num16z0">
    <w:name w:val="WW8Num16z0"/>
    <w:qFormat/>
    <w:rPr>
      <w:rFonts w:ascii="Symbol" w:hAnsi="Symbol" w:cs="Symbol"/>
      <w:color w:val="auto"/>
      <w:sz w:val="20"/>
    </w:rPr>
  </w:style>
  <w:style w:type="character" w:styleId="WW8Num17z0">
    <w:name w:val="WW8Num17z0"/>
    <w:qFormat/>
    <w:rPr>
      <w:rFonts w:ascii="Wingdings" w:hAnsi="Wingdings" w:cs="Wingdings"/>
    </w:rPr>
  </w:style>
  <w:style w:type="character" w:styleId="WW8Num18z0">
    <w:name w:val="WW8Num18z0"/>
    <w:qFormat/>
    <w:rPr>
      <w:rFonts w:ascii="Symbol" w:hAnsi="Symbol" w:cs="Symbol"/>
      <w:color w:val="auto"/>
      <w:sz w:val="20"/>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Wingdings" w:hAnsi="Wingdings" w:cs="Wingdings"/>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Wingdings" w:hAnsi="Wingdings" w:cs="Wingdings"/>
    </w:rPr>
  </w:style>
  <w:style w:type="character" w:styleId="WW8Num25z0">
    <w:name w:val="WW8Num25z0"/>
    <w:qFormat/>
    <w:rPr>
      <w:rFonts w:ascii="Symbol" w:hAnsi="Symbol" w:cs="Symbol"/>
      <w:color w:val="auto"/>
    </w:rPr>
  </w:style>
  <w:style w:type="character" w:styleId="WW8Num26z0">
    <w:name w:val="WW8Num26z0"/>
    <w:qFormat/>
    <w:rPr>
      <w:rFonts w:ascii="Wingdings" w:hAnsi="Wingdings" w:cs="Wingdings"/>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sz w:val="20"/>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color w:val="auto"/>
    </w:rPr>
  </w:style>
  <w:style w:type="character" w:styleId="WW8Num35z0">
    <w:name w:val="WW8Num35z0"/>
    <w:qFormat/>
    <w:rPr>
      <w:rFonts w:ascii="Wingdings" w:hAnsi="Wingdings" w:cs="Wingdings"/>
      <w:sz w:val="20"/>
    </w:rPr>
  </w:style>
  <w:style w:type="character" w:styleId="WW8Num36z0">
    <w:name w:val="WW8Num36z0"/>
    <w:qFormat/>
    <w:rPr>
      <w:rFonts w:ascii="Symbol" w:hAnsi="Symbol" w:cs="Symbol"/>
      <w:color w:val="auto"/>
      <w:sz w:val="20"/>
    </w:rPr>
  </w:style>
  <w:style w:type="character" w:styleId="WW8Num37z0">
    <w:name w:val="WW8Num37z0"/>
    <w:qFormat/>
    <w:rPr>
      <w:rFonts w:ascii="Symbol" w:hAnsi="Symbol" w:cs="Symbol"/>
      <w:color w:val="auto"/>
      <w:sz w:val="20"/>
    </w:rPr>
  </w:style>
  <w:style w:type="character" w:styleId="WW8Num38z0">
    <w:name w:val="WW8Num38z0"/>
    <w:qFormat/>
    <w:rPr>
      <w:rFonts w:ascii="Symbol" w:hAnsi="Symbol" w:cs="Symbol"/>
      <w:color w:val="auto"/>
      <w:sz w:val="20"/>
    </w:rPr>
  </w:style>
  <w:style w:type="character" w:styleId="WW8Num39z0">
    <w:name w:val="WW8Num39z0"/>
    <w:qFormat/>
    <w:rPr>
      <w:rFonts w:ascii="Symbol" w:hAnsi="Symbol" w:cs="Symbol"/>
      <w:color w:val="auto"/>
    </w:rPr>
  </w:style>
  <w:style w:type="character" w:styleId="WW8Num40z0">
    <w:name w:val="WW8Num40z0"/>
    <w:qFormat/>
    <w:rPr>
      <w:rFonts w:ascii="Wingdings" w:hAnsi="Wingdings" w:cs="Wingdings"/>
    </w:rPr>
  </w:style>
  <w:style w:type="character" w:styleId="WW8Num41z0">
    <w:name w:val="WW8Num41z0"/>
    <w:qFormat/>
    <w:rPr>
      <w:rFonts w:ascii="Symbol" w:hAnsi="Symbol" w:cs="Symbol"/>
      <w:color w:val="auto"/>
    </w:rPr>
  </w:style>
  <w:style w:type="character" w:styleId="WW8Num42z0">
    <w:name w:val="WW8Num42z0"/>
    <w:qFormat/>
    <w:rPr>
      <w:rFonts w:ascii="Wingdings" w:hAnsi="Wingdings" w:cs="Wingdings"/>
    </w:rPr>
  </w:style>
  <w:style w:type="character" w:styleId="WW8Num43z0">
    <w:name w:val="WW8Num43z0"/>
    <w:qFormat/>
    <w:rPr>
      <w:rFonts w:ascii="Symbol" w:hAnsi="Symbol" w:cs="Symbol"/>
      <w:color w:val="auto"/>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color w:val="auto"/>
      <w:sz w:val="20"/>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2000-05-05T04:56:00Z</dcterms:created>
  <dc:creator>susan harrison</dc:creator>
  <dc:description/>
  <dc:language>en-CA</dc:language>
  <cp:lastModifiedBy>bprice</cp:lastModifiedBy>
  <cp:lastPrinted>2000-04-05T12:56:00Z</cp:lastPrinted>
  <dcterms:modified xsi:type="dcterms:W3CDTF">2000-05-05T04:59:00Z</dcterms:modified>
  <cp:revision>3</cp:revision>
  <dc:subject/>
  <dc:title>Standards – Energy Operations</dc:title>
</cp:coreProperties>
</file>