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NERC Stakeholders Committee Meeting Summary</w:t>
      </w:r>
    </w:p>
    <w:p>
      <w:pPr>
        <w:pStyle w:val="Normal"/>
        <w:jc w:val="center"/>
        <w:rPr>
          <w:b/>
          <w:bCs/>
        </w:rPr>
      </w:pPr>
      <w:r>
        <w:rPr>
          <w:b/>
          <w:bCs/>
        </w:rPr>
        <w:t>June 11, 2001</w:t>
      </w:r>
    </w:p>
    <w:p>
      <w:pPr>
        <w:pStyle w:val="Normal"/>
        <w:jc w:val="center"/>
        <w:rPr>
          <w:b/>
          <w:bCs/>
        </w:rPr>
      </w:pPr>
      <w:r>
        <w:rPr>
          <w:b/>
          <w:bCs/>
        </w:rPr>
        <w:t>Washington DC</w:t>
      </w:r>
    </w:p>
    <w:p>
      <w:pPr>
        <w:pStyle w:val="Normal"/>
        <w:rPr/>
      </w:pPr>
      <w:r>
        <w:rPr/>
      </w:r>
    </w:p>
    <w:p>
      <w:pPr>
        <w:pStyle w:val="Normal"/>
        <w:rPr>
          <w:u w:val="single"/>
        </w:rPr>
      </w:pPr>
      <w:r>
        <w:rPr>
          <w:u w:val="single"/>
        </w:rPr>
        <w:t>Agenda Item 2. Minutes of the February Stakeholders Organization Meeting</w:t>
      </w:r>
    </w:p>
    <w:p>
      <w:pPr>
        <w:pStyle w:val="Normal"/>
        <w:rPr/>
      </w:pPr>
      <w:r>
        <w:rPr/>
        <w:t>You will be asked to approve the minutes of the last Stakeholder Committee meeting which established action items to be approved at this meeting.</w:t>
      </w:r>
    </w:p>
    <w:p>
      <w:pPr>
        <w:pStyle w:val="Normal"/>
        <w:rPr/>
      </w:pPr>
      <w:r>
        <w:rPr/>
      </w:r>
    </w:p>
    <w:p>
      <w:pPr>
        <w:pStyle w:val="Normal"/>
        <w:rPr/>
      </w:pPr>
      <w:r>
        <w:rPr/>
        <w:t>Recommend to Approve</w:t>
      </w:r>
    </w:p>
    <w:p>
      <w:pPr>
        <w:pStyle w:val="Normal"/>
        <w:rPr/>
      </w:pPr>
      <w:r>
        <w:rPr/>
      </w:r>
    </w:p>
    <w:p>
      <w:pPr>
        <w:pStyle w:val="Normal"/>
        <w:rPr>
          <w:u w:val="single"/>
        </w:rPr>
      </w:pPr>
      <w:r>
        <w:rPr>
          <w:u w:val="single"/>
        </w:rPr>
        <w:t>Agenda Item 3. Stakeholders Committee Organization</w:t>
      </w:r>
    </w:p>
    <w:p>
      <w:pPr>
        <w:pStyle w:val="Normal"/>
        <w:rPr/>
      </w:pPr>
      <w:r>
        <w:rPr/>
        <w:t>You will be asked to approve the recommendations of the Stakeholders Committee Governance Task Force as described in the “Composition, Governance, and Voting Structure of the NERC Stakeholders Committee” report - Attachment 1 in the meeting package.</w:t>
      </w:r>
    </w:p>
    <w:p>
      <w:pPr>
        <w:pStyle w:val="Normal"/>
        <w:rPr/>
      </w:pPr>
      <w:r>
        <w:rPr/>
        <w:t xml:space="preserve"> </w:t>
      </w:r>
    </w:p>
    <w:p>
      <w:pPr>
        <w:pStyle w:val="Normal"/>
        <w:rPr/>
      </w:pPr>
      <w:r>
        <w:rPr/>
        <w:t>Steven Gilliland (DENA) and John Anderson (ELCON) participated on this Task Force and should be able to provide useful background on the proposed practices.</w:t>
      </w:r>
    </w:p>
    <w:p>
      <w:pPr>
        <w:pStyle w:val="Normal"/>
        <w:rPr/>
      </w:pPr>
      <w:r>
        <w:rPr/>
      </w:r>
    </w:p>
    <w:p>
      <w:pPr>
        <w:pStyle w:val="Normal"/>
        <w:rPr/>
      </w:pPr>
      <w:r>
        <w:rPr/>
        <w:t>The main concerns the marketers have of the Stakeholder Committee is to limit their control of the independent Board and to limit their control of the Standing Committees where market representatives vote on policy decisions.  The proposal does not appear to impede in the Board relationship with the Standing Committees.</w:t>
      </w:r>
    </w:p>
    <w:p>
      <w:pPr>
        <w:pStyle w:val="Normal"/>
        <w:rPr/>
      </w:pPr>
      <w:r>
        <w:rPr/>
      </w:r>
    </w:p>
    <w:p>
      <w:pPr>
        <w:pStyle w:val="Normal"/>
        <w:rPr/>
      </w:pPr>
      <w:r>
        <w:rPr/>
        <w:t>Some key authority the Stakeholder Committee will include:</w:t>
      </w:r>
    </w:p>
    <w:p>
      <w:pPr>
        <w:pStyle w:val="Normal"/>
        <w:numPr>
          <w:ilvl w:val="0"/>
          <w:numId w:val="2"/>
        </w:numPr>
        <w:rPr/>
      </w:pPr>
      <w:r>
        <w:rPr/>
        <w:t>election of Independent Board of Trustees</w:t>
      </w:r>
    </w:p>
    <w:p>
      <w:pPr>
        <w:pStyle w:val="Normal"/>
        <w:numPr>
          <w:ilvl w:val="0"/>
          <w:numId w:val="2"/>
        </w:numPr>
        <w:rPr/>
      </w:pPr>
      <w:r>
        <w:rPr/>
        <w:t>approve amendments to NERC By-Laws – this includes approval of the policies that will become enforceable with penalties under the NERC “Annex B” approach under a voluntary members compliance and enforcement program implemented as an alternative to legislative mandate</w:t>
      </w:r>
    </w:p>
    <w:p>
      <w:pPr>
        <w:pStyle w:val="Normal"/>
        <w:numPr>
          <w:ilvl w:val="0"/>
          <w:numId w:val="2"/>
        </w:numPr>
        <w:rPr/>
      </w:pPr>
      <w:r>
        <w:rPr/>
        <w:t>participate in budgeting process</w:t>
      </w:r>
    </w:p>
    <w:p>
      <w:pPr>
        <w:pStyle w:val="Normal"/>
        <w:ind w:start="360" w:end="0"/>
        <w:rPr/>
      </w:pPr>
      <w:r>
        <w:rPr/>
      </w:r>
    </w:p>
    <w:p>
      <w:pPr>
        <w:pStyle w:val="Normal"/>
        <w:rPr/>
      </w:pPr>
      <w:r>
        <w:rPr/>
        <w:t xml:space="preserve">The “Voting Model for the NERC Stakeholders Committee” </w:t>
      </w:r>
    </w:p>
    <w:p>
      <w:pPr>
        <w:pStyle w:val="Normal"/>
        <w:rPr/>
      </w:pPr>
      <w:r>
        <w:rPr/>
        <w:t>Given the 3 key authority items granted to this Committee, it is important that the incumbents nor any one market segment dominate the voting.  The proposed structure is transmission provider and operator dominated:</w:t>
      </w:r>
    </w:p>
    <w:p>
      <w:pPr>
        <w:pStyle w:val="Normal"/>
        <w:rPr/>
      </w:pPr>
      <w:r>
        <w:rPr/>
      </w:r>
    </w:p>
    <w:p>
      <w:pPr>
        <w:pStyle w:val="Normal"/>
        <w:rPr/>
      </w:pPr>
      <w:r>
        <w:rPr/>
        <w:t>2 - Officers, Chair and Vice Chair</w:t>
      </w:r>
    </w:p>
    <w:p>
      <w:pPr>
        <w:pStyle w:val="Normal"/>
        <w:rPr/>
      </w:pPr>
      <w:r>
        <w:rPr/>
        <w:t>20 - Industry Sectors</w:t>
      </w:r>
    </w:p>
    <w:p>
      <w:pPr>
        <w:pStyle w:val="Normal"/>
        <w:rPr/>
      </w:pPr>
      <w:r>
        <w:rPr/>
        <w:tab/>
        <w:t>2 - Power marketers, 2 Merchant Generators</w:t>
      </w:r>
    </w:p>
    <w:p>
      <w:pPr>
        <w:pStyle w:val="Normal"/>
        <w:rPr/>
      </w:pPr>
      <w:r>
        <w:rPr/>
        <w:t>10 - Regional Councils</w:t>
      </w:r>
    </w:p>
    <w:p>
      <w:pPr>
        <w:pStyle w:val="Normal"/>
        <w:rPr/>
      </w:pPr>
      <w:r>
        <w:rPr/>
        <w:t>4 - Canada</w:t>
      </w:r>
    </w:p>
    <w:p>
      <w:pPr>
        <w:pStyle w:val="Normal"/>
        <w:rPr/>
      </w:pPr>
      <w:r>
        <w:rPr/>
        <w:tab/>
        <w:t>1 East, 1 West, 2 At large</w:t>
      </w:r>
    </w:p>
    <w:p>
      <w:pPr>
        <w:pStyle w:val="Normal"/>
        <w:rPr/>
      </w:pPr>
      <w:r>
        <w:rPr/>
        <w:t>6 - Government (nonutility) Representatives</w:t>
      </w:r>
    </w:p>
    <w:p>
      <w:pPr>
        <w:pStyle w:val="Normal"/>
        <w:rPr/>
      </w:pPr>
      <w:r>
        <w:rPr/>
      </w:r>
    </w:p>
    <w:p>
      <w:pPr>
        <w:pStyle w:val="Normal"/>
        <w:rPr/>
      </w:pPr>
      <w:r>
        <w:rPr/>
        <w:t>Total of 42 members</w:t>
      </w:r>
    </w:p>
    <w:p>
      <w:pPr>
        <w:pStyle w:val="Normal"/>
        <w:rPr/>
      </w:pPr>
      <w:r>
        <w:rPr/>
        <w:t>There appears to be a lack of marketer and merchant generator representation and a continuation of the old NERC Board make-up that is problematic if NERC is to continue in establishing market practices.</w:t>
      </w:r>
    </w:p>
    <w:p>
      <w:pPr>
        <w:pStyle w:val="Normal"/>
        <w:rPr/>
      </w:pPr>
      <w:r>
        <w:rPr/>
      </w:r>
    </w:p>
    <w:p>
      <w:pPr>
        <w:pStyle w:val="Normal"/>
        <w:rPr/>
      </w:pPr>
      <w:r>
        <w:rPr/>
        <w:t>Recommendation</w:t>
      </w:r>
    </w:p>
    <w:p>
      <w:pPr>
        <w:pStyle w:val="Normal"/>
        <w:rPr/>
      </w:pPr>
      <w:r>
        <w:rPr/>
        <w:t>Transmission customers may want to oppose this structure and propose an alternative more balanced membership.</w:t>
      </w:r>
    </w:p>
    <w:p>
      <w:pPr>
        <w:pStyle w:val="Normal"/>
        <w:rPr/>
      </w:pPr>
      <w:r>
        <w:rPr/>
      </w:r>
    </w:p>
    <w:p>
      <w:pPr>
        <w:pStyle w:val="Heading1"/>
        <w:ind w:hanging="0" w:start="0"/>
        <w:rPr/>
      </w:pPr>
      <w:r>
        <w:rPr/>
        <w:t>Agenda Item 4. 2002 NERC Budget</w:t>
      </w:r>
    </w:p>
    <w:p>
      <w:pPr>
        <w:pStyle w:val="Normal"/>
        <w:rPr/>
      </w:pPr>
      <w:r>
        <w:rPr/>
      </w:r>
    </w:p>
    <w:p>
      <w:pPr>
        <w:pStyle w:val="Normal"/>
        <w:rPr/>
      </w:pPr>
      <w:r>
        <w:rPr/>
        <w:t>Highlights:</w:t>
      </w:r>
    </w:p>
    <w:p>
      <w:pPr>
        <w:pStyle w:val="Normal"/>
        <w:numPr>
          <w:ilvl w:val="0"/>
          <w:numId w:val="3"/>
        </w:numPr>
        <w:rPr/>
      </w:pPr>
      <w:r>
        <w:rPr/>
        <w:t>The 2002 Budget for approval is a 5% increase or about  $500,000 over Year 2001.</w:t>
      </w:r>
    </w:p>
    <w:p>
      <w:pPr>
        <w:pStyle w:val="Normal"/>
        <w:numPr>
          <w:ilvl w:val="0"/>
          <w:numId w:val="3"/>
        </w:numPr>
        <w:rPr/>
      </w:pPr>
      <w:r>
        <w:rPr/>
        <w:t>Increases are attributed mostly to hiring staff (8 unfilled positions) to facilitate more NERC activities related to re-formatting the NERC planning/reliability rules.  Other significant increases are related to computer tools development such as the NERC website.</w:t>
      </w:r>
    </w:p>
    <w:p>
      <w:pPr>
        <w:pStyle w:val="Normal"/>
        <w:ind w:start="360" w:end="0"/>
        <w:rPr/>
      </w:pPr>
      <w:r>
        <w:rPr/>
      </w:r>
    </w:p>
    <w:p>
      <w:pPr>
        <w:pStyle w:val="Normal"/>
        <w:rPr/>
      </w:pPr>
      <w:r>
        <w:rPr/>
        <w:t>Recommend to Approve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2001-05-31T16:14:00Z</dcterms:created>
  <dc:creator>cyeung</dc:creator>
  <dc:description/>
  <dc:language>en-CA</dc:language>
  <cp:lastModifiedBy>cyeung</cp:lastModifiedBy>
  <cp:lastPrinted>2001-06-01T11:03:00Z</cp:lastPrinted>
  <dcterms:modified xsi:type="dcterms:W3CDTF">2001-06-06T10:37:00Z</dcterms:modified>
  <cp:revision>27</cp:revision>
  <dc:subject/>
  <dc:title>NERC Stakeholders Committee Meeting Notes</dc:title>
</cp:coreProperties>
</file>