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Stagecoach – Letter of Intent</w:t>
      </w:r>
    </w:p>
    <w:p>
      <w:pPr>
        <w:pStyle w:val="Normal"/>
        <w:rPr>
          <w:sz w:val="22"/>
        </w:rPr>
      </w:pPr>
      <w:r>
        <w:rPr>
          <w:sz w:val="22"/>
        </w:rPr>
      </w:r>
    </w:p>
    <w:p>
      <w:pPr>
        <w:pStyle w:val="Normal"/>
        <w:rPr>
          <w:sz w:val="22"/>
        </w:rPr>
      </w:pPr>
      <w:r>
        <w:rPr>
          <w:sz w:val="22"/>
        </w:rPr>
      </w:r>
    </w:p>
    <w:p>
      <w:pPr>
        <w:pStyle w:val="Normal"/>
        <w:rPr>
          <w:sz w:val="22"/>
        </w:rPr>
      </w:pPr>
      <w:r>
        <w:rPr>
          <w:sz w:val="22"/>
        </w:rPr>
        <w:t>This document, agreed upon by Enron Compression Services (ECS) and El Paso Energy – Tennessee Pipeline (EPE), is to serve as the following:</w:t>
      </w:r>
    </w:p>
    <w:p>
      <w:pPr>
        <w:pStyle w:val="Normal"/>
        <w:rPr>
          <w:sz w:val="22"/>
        </w:rPr>
      </w:pPr>
      <w:r>
        <w:rPr>
          <w:sz w:val="22"/>
        </w:rPr>
      </w:r>
    </w:p>
    <w:p>
      <w:pPr>
        <w:pStyle w:val="Normal"/>
        <w:numPr>
          <w:ilvl w:val="0"/>
          <w:numId w:val="2"/>
        </w:numPr>
        <w:rPr>
          <w:sz w:val="22"/>
        </w:rPr>
      </w:pPr>
      <w:r>
        <w:rPr>
          <w:sz w:val="22"/>
        </w:rPr>
        <w:t>Intent by both parties to execute the Stagecoach Compression Services Agreement by March 31</w:t>
      </w:r>
      <w:r>
        <w:rPr>
          <w:sz w:val="22"/>
          <w:vertAlign w:val="superscript"/>
        </w:rPr>
        <w:t>st</w:t>
      </w:r>
      <w:r>
        <w:rPr>
          <w:sz w:val="22"/>
        </w:rPr>
        <w:t>, 2001</w:t>
      </w:r>
    </w:p>
    <w:p>
      <w:pPr>
        <w:pStyle w:val="Normal"/>
        <w:tabs>
          <w:tab w:val="clear" w:pos="720"/>
          <w:tab w:val="left" w:pos="1080" w:leader="none"/>
        </w:tabs>
        <w:ind w:start="360" w:end="0"/>
        <w:rPr>
          <w:sz w:val="22"/>
        </w:rPr>
      </w:pPr>
      <w:r>
        <w:rPr>
          <w:sz w:val="22"/>
        </w:rPr>
      </w:r>
    </w:p>
    <w:p>
      <w:pPr>
        <w:pStyle w:val="Normal"/>
        <w:numPr>
          <w:ilvl w:val="0"/>
          <w:numId w:val="2"/>
        </w:numPr>
        <w:rPr>
          <w:sz w:val="22"/>
        </w:rPr>
      </w:pPr>
      <w:r>
        <w:rPr>
          <w:sz w:val="22"/>
        </w:rPr>
        <w:t>Provide for price movements in both power and gas during the execution period</w:t>
      </w:r>
    </w:p>
    <w:p>
      <w:pPr>
        <w:pStyle w:val="Normal"/>
        <w:tabs>
          <w:tab w:val="clear" w:pos="720"/>
          <w:tab w:val="left" w:pos="1080" w:leader="none"/>
        </w:tabs>
        <w:ind w:start="360" w:end="0"/>
        <w:rPr>
          <w:sz w:val="22"/>
        </w:rPr>
      </w:pPr>
      <w:r>
        <w:rPr>
          <w:sz w:val="22"/>
        </w:rPr>
      </w:r>
    </w:p>
    <w:p>
      <w:pPr>
        <w:pStyle w:val="Normal"/>
        <w:numPr>
          <w:ilvl w:val="0"/>
          <w:numId w:val="2"/>
        </w:numPr>
        <w:rPr>
          <w:sz w:val="22"/>
        </w:rPr>
      </w:pPr>
      <w:r>
        <w:rPr>
          <w:sz w:val="22"/>
        </w:rPr>
        <w:t>List the agreed-upon charges for lease and O&amp;M payments from ECS to EPE</w:t>
      </w:r>
    </w:p>
    <w:p>
      <w:pPr>
        <w:pStyle w:val="Normal"/>
        <w:tabs>
          <w:tab w:val="clear" w:pos="720"/>
          <w:tab w:val="left" w:pos="1080" w:leader="none"/>
        </w:tabs>
        <w:ind w:start="360" w:end="0"/>
        <w:rPr>
          <w:sz w:val="22"/>
        </w:rPr>
      </w:pPr>
      <w:r>
        <w:rPr>
          <w:sz w:val="22"/>
        </w:rPr>
      </w:r>
    </w:p>
    <w:p>
      <w:pPr>
        <w:pStyle w:val="Normal"/>
        <w:numPr>
          <w:ilvl w:val="0"/>
          <w:numId w:val="2"/>
        </w:numPr>
        <w:rPr>
          <w:sz w:val="22"/>
        </w:rPr>
      </w:pPr>
      <w:r>
        <w:rPr>
          <w:sz w:val="22"/>
        </w:rPr>
        <w:t>Indication that a ECS will have a First Look/Last Look at future call options and will have first right of refusal to provide power service for the summer months of June, July and August</w:t>
      </w:r>
    </w:p>
    <w:p>
      <w:pPr>
        <w:pStyle w:val="Normal"/>
        <w:tabs>
          <w:tab w:val="clear" w:pos="720"/>
          <w:tab w:val="left" w:pos="1080" w:leader="none"/>
        </w:tabs>
        <w:ind w:start="360" w:end="0"/>
        <w:rPr>
          <w:sz w:val="22"/>
        </w:rPr>
      </w:pPr>
      <w:r>
        <w:rPr>
          <w:sz w:val="22"/>
        </w:rPr>
      </w:r>
    </w:p>
    <w:p>
      <w:pPr>
        <w:pStyle w:val="Normal"/>
        <w:numPr>
          <w:ilvl w:val="0"/>
          <w:numId w:val="2"/>
        </w:numPr>
        <w:rPr>
          <w:sz w:val="22"/>
        </w:rPr>
      </w:pPr>
      <w:r>
        <w:rPr>
          <w:sz w:val="22"/>
        </w:rPr>
        <w:t>Indication that an executed contract is contingent only upon ECS Management approval</w:t>
      </w:r>
    </w:p>
    <w:p>
      <w:pPr>
        <w:pStyle w:val="Normal"/>
        <w:rPr>
          <w:sz w:val="22"/>
        </w:rPr>
      </w:pPr>
      <w:r>
        <w:rPr>
          <w:sz w:val="22"/>
        </w:rPr>
      </w:r>
    </w:p>
    <w:p>
      <w:pPr>
        <w:pStyle w:val="Normal"/>
        <w:rPr>
          <w:sz w:val="22"/>
        </w:rPr>
      </w:pPr>
      <w:r>
        <w:rPr>
          <w:sz w:val="22"/>
        </w:rPr>
      </w:r>
    </w:p>
    <w:p>
      <w:pPr>
        <w:pStyle w:val="Heading1"/>
        <w:ind w:hanging="0" w:start="0"/>
        <w:rPr/>
      </w:pPr>
      <w:r>
        <w:rPr/>
        <w:t>Intent to Execute Agreement</w:t>
      </w:r>
    </w:p>
    <w:p>
      <w:pPr>
        <w:pStyle w:val="Normal"/>
        <w:rPr>
          <w:sz w:val="22"/>
        </w:rPr>
      </w:pPr>
      <w:r>
        <w:rPr>
          <w:sz w:val="22"/>
        </w:rPr>
      </w:r>
    </w:p>
    <w:p>
      <w:pPr>
        <w:pStyle w:val="Normal"/>
        <w:rPr/>
      </w:pPr>
      <w:r>
        <w:rPr>
          <w:sz w:val="22"/>
        </w:rPr>
        <w:t>ECS and ENE both intend to execute the Stagecoach Compression Services Agreement by March 31</w:t>
      </w:r>
      <w:r>
        <w:rPr>
          <w:sz w:val="22"/>
          <w:vertAlign w:val="superscript"/>
        </w:rPr>
        <w:t>st</w:t>
      </w:r>
      <w:r>
        <w:rPr>
          <w:sz w:val="22"/>
        </w:rPr>
        <w:t>, 2001.  All pricing will be contingent upon executing the agreement by this date.</w:t>
      </w:r>
    </w:p>
    <w:p>
      <w:pPr>
        <w:pStyle w:val="Normal"/>
        <w:rPr>
          <w:sz w:val="22"/>
        </w:rPr>
      </w:pPr>
      <w:r>
        <w:rPr>
          <w:sz w:val="22"/>
        </w:rPr>
      </w:r>
    </w:p>
    <w:p>
      <w:pPr>
        <w:pStyle w:val="Normal"/>
        <w:rPr>
          <w:sz w:val="22"/>
        </w:rPr>
      </w:pPr>
      <w:r>
        <w:rPr>
          <w:sz w:val="22"/>
        </w:rPr>
      </w:r>
    </w:p>
    <w:p>
      <w:pPr>
        <w:pStyle w:val="Heading1"/>
        <w:ind w:hanging="0" w:start="0"/>
        <w:rPr/>
      </w:pPr>
      <w:r>
        <w:rPr/>
        <w:t>Price Movements during the Execution Period</w:t>
      </w:r>
    </w:p>
    <w:p>
      <w:pPr>
        <w:pStyle w:val="Normal"/>
        <w:rPr>
          <w:sz w:val="22"/>
        </w:rPr>
      </w:pPr>
      <w:r>
        <w:rPr>
          <w:sz w:val="22"/>
        </w:rPr>
      </w:r>
    </w:p>
    <w:p>
      <w:pPr>
        <w:pStyle w:val="Normal"/>
        <w:rPr>
          <w:sz w:val="22"/>
        </w:rPr>
      </w:pPr>
      <w:r>
        <w:rPr>
          <w:sz w:val="22"/>
        </w:rPr>
        <w:t>Natural gas and power prices will move during the execution period.  The contract will stipulate a commodity payment that is based upon a heat rate of 8,000 Btu/Hp, which is in turn based on a NYMEX natural gas price of (?).  Movement of this gas price may cause the heat rate to go up.  Additionally, the contract will stipulate a fixed power price of (?)$/Hp-Yr, which is based upon a PJM power pool price of (?).  Movement of the PJM power pool price may cause the fixed price per Hp-Yr to go up.</w:t>
      </w:r>
    </w:p>
    <w:p>
      <w:pPr>
        <w:pStyle w:val="Normal"/>
        <w:rPr>
          <w:sz w:val="22"/>
        </w:rPr>
      </w:pPr>
      <w:r>
        <w:rPr>
          <w:sz w:val="22"/>
        </w:rPr>
      </w:r>
    </w:p>
    <w:p>
      <w:pPr>
        <w:pStyle w:val="Normal"/>
        <w:rPr>
          <w:sz w:val="22"/>
        </w:rPr>
      </w:pPr>
      <w:r>
        <w:rPr>
          <w:sz w:val="22"/>
        </w:rPr>
      </w:r>
    </w:p>
    <w:p>
      <w:pPr>
        <w:pStyle w:val="Heading1"/>
        <w:ind w:hanging="0" w:start="0"/>
        <w:rPr>
          <w:b w:val="false"/>
        </w:rPr>
      </w:pPr>
      <w:r>
        <w:rPr/>
        <w:t>Lease and O&amp;M charges</w:t>
      </w:r>
    </w:p>
    <w:p>
      <w:pPr>
        <w:pStyle w:val="Normal"/>
        <w:rPr>
          <w:b/>
          <w:sz w:val="22"/>
        </w:rPr>
      </w:pPr>
      <w:r>
        <w:rPr>
          <w:b/>
          <w:sz w:val="22"/>
        </w:rPr>
      </w:r>
    </w:p>
    <w:p>
      <w:pPr>
        <w:pStyle w:val="Normal"/>
        <w:rPr>
          <w:sz w:val="22"/>
        </w:rPr>
      </w:pPr>
      <w:r>
        <w:rPr>
          <w:sz w:val="22"/>
        </w:rPr>
        <w:t>ECS will pay EPE fixed payments for leasing of the “electrical drive train” in the amount of $70,000 $/Yr.  ECS will also contract to EPE for O&amp;M activities on the “electrical drive train” in the fixed amount of $210,000 $/Yr.</w:t>
      </w:r>
    </w:p>
    <w:p>
      <w:pPr>
        <w:pStyle w:val="Normal"/>
        <w:rPr>
          <w:sz w:val="22"/>
        </w:rPr>
      </w:pPr>
      <w:r>
        <w:rPr>
          <w:sz w:val="22"/>
        </w:rPr>
      </w:r>
    </w:p>
    <w:p>
      <w:pPr>
        <w:pStyle w:val="Normal"/>
        <w:rPr>
          <w:sz w:val="22"/>
        </w:rPr>
      </w:pPr>
      <w:r>
        <w:rPr>
          <w:sz w:val="22"/>
        </w:rPr>
      </w:r>
    </w:p>
    <w:p>
      <w:pPr>
        <w:pStyle w:val="Heading1"/>
        <w:ind w:hanging="0" w:start="0"/>
        <w:rPr/>
      </w:pPr>
      <w:r>
        <w:rPr/>
        <w:t>Future Call Options and Summer Power Provision</w:t>
      </w:r>
    </w:p>
    <w:p>
      <w:pPr>
        <w:pStyle w:val="Normal"/>
        <w:rPr>
          <w:sz w:val="22"/>
        </w:rPr>
      </w:pPr>
      <w:r>
        <w:rPr>
          <w:sz w:val="22"/>
        </w:rPr>
      </w:r>
    </w:p>
    <w:p>
      <w:pPr>
        <w:pStyle w:val="Normal"/>
        <w:rPr>
          <w:sz w:val="22"/>
        </w:rPr>
      </w:pPr>
      <w:r>
        <w:rPr>
          <w:sz w:val="22"/>
        </w:rPr>
        <w:t>ECS will retain the right to First Look/Last Look at potential call options on provided power during the term of the contract.  ECS will provide call option proposals as necessary.  Additionally, ECS will retain the first right of refusal to provide EPE with power service during the summer months of June, July and August, on an annual basis, unless otherwise agreed to.  For this right, ECS will continue making Lease and O&amp;M payments during these months.</w:t>
      </w:r>
    </w:p>
    <w:p>
      <w:pPr>
        <w:pStyle w:val="Normal"/>
        <w:rPr>
          <w:sz w:val="22"/>
        </w:rPr>
      </w:pPr>
      <w:r>
        <w:rPr>
          <w:sz w:val="22"/>
        </w:rPr>
      </w:r>
    </w:p>
    <w:p>
      <w:pPr>
        <w:pStyle w:val="Heading1"/>
        <w:ind w:hanging="0" w:start="0"/>
        <w:rPr/>
      </w:pPr>
      <w:r>
        <w:rPr/>
        <w:t>Management Approval</w:t>
      </w:r>
    </w:p>
    <w:p>
      <w:pPr>
        <w:pStyle w:val="Normal"/>
        <w:rPr>
          <w:sz w:val="22"/>
        </w:rPr>
      </w:pPr>
      <w:r>
        <w:rPr>
          <w:sz w:val="22"/>
        </w:rPr>
      </w:r>
    </w:p>
    <w:p>
      <w:pPr>
        <w:pStyle w:val="Normal"/>
        <w:rPr>
          <w:sz w:val="22"/>
        </w:rPr>
      </w:pPr>
      <w:r>
        <w:rPr>
          <w:sz w:val="22"/>
        </w:rPr>
        <w:t>The Stagecoach Compression Services Agreement is contingent upon ECS Management approval.</w:t>
      </w:r>
    </w:p>
    <w:p>
      <w:pPr>
        <w:pStyle w:val="Normal"/>
        <w:rPr>
          <w:sz w:val="22"/>
        </w:rPr>
      </w:pPr>
      <w:r>
        <w:rPr>
          <w:sz w:val="22"/>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2001-02-26T16:07:00Z</dcterms:created>
  <dc:creator>amiles</dc:creator>
  <dc:description/>
  <dc:language>en-CA</dc:language>
  <cp:lastModifiedBy>amiles</cp:lastModifiedBy>
  <dcterms:modified xsi:type="dcterms:W3CDTF">2001-02-26T16:42:00Z</dcterms:modified>
  <cp:revision>3</cp:revision>
  <dc:subject/>
  <dc:title>Stagecoach – Letter of Intent</dc:title>
</cp:coreProperties>
</file>