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ind w:firstLine="720" w:end="0"/>
        <w:rPr/>
      </w:pPr>
      <w:r>
        <w:rPr/>
      </w:r>
    </w:p>
    <w:p>
      <w:pPr>
        <w:pStyle w:val="FootnoteText"/>
        <w:tabs>
          <w:tab w:val="clear" w:pos="720"/>
          <w:tab w:val="left" w:pos="-1440" w:leader="none"/>
        </w:tabs>
        <w:jc w:val="center"/>
        <w:rPr>
          <w:b/>
          <w:bCs/>
        </w:rPr>
      </w:pPr>
      <w:r>
        <w:rPr>
          <w:b/>
          <w:bCs/>
        </w:rPr>
      </w:r>
    </w:p>
    <w:p>
      <w:pPr>
        <w:pStyle w:val="CcList"/>
        <w:keepLines w:val="false"/>
        <w:ind w:hanging="0" w:start="0" w:end="0"/>
        <w:rPr/>
      </w:pPr>
      <w:r>
        <w:rPr/>
        <w:t>1.</w:t>
        <w:tab/>
        <w:t xml:space="preserve">Regarding Staff witness Ms. Patterson's testimony at Exhibit S-1, page 22, line 21 through page 23, line 2, please refer to PGE's Exhibits PGE-1 through PGE-14.  Please state whether the information in Exhibits PGE-1 through PGE-14 for the transactions listed in Exhibit PGE-2 for December 20, 2000 hour ending 6 through February 6, 2001 meet Ms. Patterson's criteria.  If not, explain why not.  </w:t>
      </w:r>
    </w:p>
    <w:p>
      <w:pPr>
        <w:pStyle w:val="Normal"/>
        <w:tabs>
          <w:tab w:val="left" w:pos="720" w:leader="none"/>
        </w:tabs>
        <w:ind w:start="720" w:end="0"/>
        <w:rPr/>
      </w:pPr>
      <w:r>
        <w:rPr/>
      </w:r>
    </w:p>
    <w:p>
      <w:pPr>
        <w:pStyle w:val="Normal"/>
        <w:rPr>
          <w:b/>
          <w:bCs/>
        </w:rPr>
      </w:pPr>
      <w:r>
        <w:rPr>
          <w:b/>
          <w:bCs/>
        </w:rPr>
        <w:t>Response:</w:t>
      </w:r>
    </w:p>
    <w:p>
      <w:pPr>
        <w:pStyle w:val="Normal"/>
        <w:rPr/>
      </w:pPr>
      <w:r>
        <w:rPr/>
      </w:r>
    </w:p>
    <w:p>
      <w:pPr>
        <w:pStyle w:val="Normal"/>
        <w:rPr/>
      </w:pPr>
      <w:r>
        <w:rPr/>
        <w:t>Based on staff’s review to date, there are numerous inconsistencies among the data presented in various PGE Exhibits and data provided by the California ISO in testimony and responses to discovery.  Therefore, staff is unable to determine at this time whether the transactions listed in PGE-2 for December 20, 2000 hour ending 6 through February 6, 2001 meet staff’s criteria.  Nevertheless, staff notes that for the OOM sales to the California ISO on January 9, 2001, Mr. Casey states at Exhibit No. PGE-1, page 10, lines 10-11, that PGE’s records show  a price of $821.10 per MWh.  Since this price exceeds the $64/MWh limit established by the Secretary of the Department of Energy and was not referred to FERC for a determination of reasonableness, this transaction does not satisfy the fourth criterion that the agreed upon price be no greater than $64/MWh.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6"/>
        </w:rPr>
      </w:pPr>
      <w:r>
        <w:rPr>
          <w:sz w:val="26"/>
        </w:rPr>
        <w:t>Prepared by Linda M. Patterson on November 20, 2001.</w:t>
      </w:r>
    </w:p>
    <w:p>
      <w:pPr>
        <w:pStyle w:val="BodyText"/>
        <w:rPr>
          <w:sz w:val="26"/>
        </w:rPr>
      </w:pPr>
      <w:r>
        <w:rPr>
          <w:sz w:val="26"/>
        </w:rPr>
        <w:t xml:space="preserve">Rule 403(c) Statement:  I hereby certify that the above response is true and accurate to the best of my knowledge, information and belief formed after reasonable inquiry. </w:t>
      </w:r>
    </w:p>
    <w:p>
      <w:pPr>
        <w:pStyle w:val="Normal"/>
        <w:rPr>
          <w:sz w:val="26"/>
        </w:rPr>
      </w:pPr>
      <w:r>
        <w:rPr>
          <w:sz w:val="26"/>
        </w:rPr>
      </w:r>
    </w:p>
    <w:sectPr>
      <w:headerReference w:type="default" r:id="rId2"/>
      <w:headerReference w:type="first" r:id="rId3"/>
      <w:type w:val="nextPage"/>
      <w:pgSz w:w="12240" w:h="15840"/>
      <w:pgMar w:left="1440" w:right="1440" w:gutter="0" w:header="965"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STAFF’S RESPONSE TO PORTLAND GENERAL ELECTRIC COMPANY’S FIRST SET OF DATA REQUESTS</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cList">
    <w:name w:val="Cc List"/>
    <w:basedOn w:val="Normal"/>
    <w:qFormat/>
    <w:pPr>
      <w:keepLines/>
      <w:ind w:hanging="720" w:start="72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120"/>
      <w:ind w:hanging="360" w:start="360" w:end="0"/>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2001-11-20T21:04:00Z</dcterms:created>
  <dc:creator>FERC</dc:creator>
  <dc:description/>
  <dc:language>en-CA</dc:language>
  <cp:lastModifiedBy>FERC</cp:lastModifiedBy>
  <cp:lastPrinted>2001-11-20T18:22:00Z</cp:lastPrinted>
  <dcterms:modified xsi:type="dcterms:W3CDTF">2001-11-20T21:04:00Z</dcterms:modified>
  <cp:revision>2</cp:revision>
  <dc:subject/>
  <dc:title>1</dc:title>
</cp:coreProperties>
</file>