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rPr>
          <w:sz w:val="28"/>
        </w:rPr>
        <w:t>Market Pulp Summary</w:t>
      </w:r>
    </w:p>
    <w:p>
      <w:pPr>
        <w:pStyle w:val="Normal"/>
        <w:jc w:val="center"/>
        <w:rPr>
          <w:b/>
          <w:bCs/>
          <w:sz w:val="28"/>
        </w:rPr>
      </w:pPr>
      <w:r>
        <w:rPr>
          <w:b/>
          <w:bCs/>
          <w:sz w:val="28"/>
        </w:rPr>
      </w:r>
    </w:p>
    <w:p>
      <w:pPr>
        <w:pStyle w:val="Normal"/>
        <w:jc w:val="center"/>
        <w:rPr>
          <w:b/>
          <w:bCs/>
        </w:rPr>
      </w:pPr>
      <w:r>
        <w:rPr>
          <w:b/>
          <w:bCs/>
        </w:rPr>
      </w:r>
    </w:p>
    <w:p>
      <w:pPr>
        <w:pStyle w:val="Normal"/>
        <w:rPr/>
      </w:pPr>
      <w:r>
        <w:rPr/>
        <w:t>Biggest Producers of Total Paper Grade Market Pulp:</w:t>
      </w:r>
    </w:p>
    <w:p>
      <w:pPr>
        <w:pStyle w:val="Normal"/>
        <w:rPr/>
      </w:pPr>
      <w:r>
        <w:rPr/>
        <w:t xml:space="preserve">International Paper, Weyerhauser, Sodra Cell, Tembec, Georgia-Pacific, Stora Enso,   Celulosa Arauco, </w:t>
      </w:r>
    </w:p>
    <w:p>
      <w:pPr>
        <w:pStyle w:val="Normal"/>
        <w:rPr/>
      </w:pPr>
      <w:r>
        <w:rPr/>
      </w:r>
    </w:p>
    <w:p>
      <w:pPr>
        <w:pStyle w:val="Normal"/>
        <w:rPr/>
      </w:pPr>
      <w:r>
        <w:rPr/>
        <w:t>Biggest Consumers of Market Pulp:</w:t>
      </w:r>
    </w:p>
    <w:p>
      <w:pPr>
        <w:pStyle w:val="Normal"/>
        <w:rPr/>
      </w:pPr>
      <w:r>
        <w:rPr/>
        <w:t>G-P, P&amp;G, Kimberly- Clark, Kruger (Tissue)</w:t>
      </w:r>
    </w:p>
    <w:p>
      <w:pPr>
        <w:pStyle w:val="Normal"/>
        <w:rPr/>
      </w:pPr>
      <w:r>
        <w:rPr/>
        <w:t>IP, G-P, Boise Cascade, Weyerhauser, Willamette, Domtar (UFS)</w:t>
      </w:r>
    </w:p>
    <w:p>
      <w:pPr>
        <w:pStyle w:val="Normal"/>
        <w:rPr/>
      </w:pPr>
      <w:r>
        <w:rPr/>
      </w:r>
    </w:p>
    <w:p>
      <w:pPr>
        <w:pStyle w:val="BodyText"/>
        <w:rPr/>
      </w:pPr>
      <w:r>
        <w:rPr>
          <w:sz w:val="24"/>
        </w:rPr>
        <w:t>The pulp and paper business is a cyclical business with historically high earnings volatility. Due to pulp and paper price fluctuations the industry has historically been categorized by high volatility. One of the main reasons for this volatility has to do with the supply side. Paper and pulp mill production tend to be highly capital intensive. These extensive costs should create high barriers to entry in the paper industry, making unexpected arrival of new paper capacity unlikely. However, this has not been the case in the pulp and paper sector. Given easily accessible financing and cheap raw materials in the form of fast growing timber, lower and lower cost competitors have kept emerging. Due to the capital-intensive nature of the industry, to be profitable participants need to spread these fixed costs over a large as possible number of units. The industry therefore makes every effort to keep paper and pulp mills running continuously. This addition in capacity leads to an increase in supply that does not match the demand increase, which in turn drives pricing power and therefore earnings within the industry. When things are good, the industry has over-invested, and the longer the good days last, the more excessive the investments. Another important structural problem of the sector is the magnitude of fragmentation within the different grades. The pulp and paper industry is one of the most fragmented major industries in the world. Measured on an aggregate basis, the top 5 producers only have a market share of 15%</w:t>
      </w:r>
      <w:r>
        <w:rPr>
          <w:sz w:val="24"/>
          <w:szCs w:val="13"/>
        </w:rPr>
        <w:t xml:space="preserve">2 </w:t>
      </w:r>
      <w:r>
        <w:rPr>
          <w:sz w:val="24"/>
        </w:rPr>
        <w:t>, which is very low compared to other similar industries (e.g. steel). This has led to very weak pricing power, given the commodity nature of products and pricing within the industry.</w:t>
      </w:r>
    </w:p>
    <w:p>
      <w:pPr>
        <w:pStyle w:val="Normal"/>
        <w:rPr>
          <w:i/>
          <w:i/>
          <w:iCs/>
          <w:sz w:val="24"/>
        </w:rPr>
      </w:pPr>
      <w:r>
        <w:rPr>
          <w:i/>
          <w:iCs/>
          <w:sz w:val="24"/>
        </w:rPr>
      </w:r>
    </w:p>
    <w:p>
      <w:pPr>
        <w:pStyle w:val="Heading1"/>
        <w:ind w:hanging="0" w:start="0"/>
        <w:rPr/>
      </w:pPr>
      <w:r>
        <w:rPr/>
        <w:t>Recent Structural Developments</w:t>
      </w:r>
    </w:p>
    <w:p>
      <w:pPr>
        <w:pStyle w:val="Normal"/>
        <w:autoSpaceDE w:val="false"/>
        <w:rPr>
          <w:szCs w:val="20"/>
        </w:rPr>
      </w:pPr>
      <w:r>
        <w:rPr>
          <w:szCs w:val="20"/>
        </w:rPr>
      </w:r>
    </w:p>
    <w:p>
      <w:pPr>
        <w:pStyle w:val="Normal"/>
        <w:autoSpaceDE w:val="false"/>
        <w:rPr>
          <w:szCs w:val="20"/>
        </w:rPr>
      </w:pPr>
      <w:r>
        <w:rPr>
          <w:szCs w:val="20"/>
        </w:rPr>
        <w:t xml:space="preserve">Poor performance due to the industry’s overcapacity and resulting volatility in prices has led most of the companies to realize that the traditional business model has led to over-investment, excess capacity and unacceptably low returns and that a new approach is needed in order to lift shareholder returns. Instead of achieving profit growth through building new mills, companies have instead sought to take over existing mills. This consolidation trend has reduced the fragmentation, as such combinations increase the capacity of the major players, while keeping total capacity constant.  </w:t>
      </w:r>
    </w:p>
    <w:p>
      <w:pPr>
        <w:pStyle w:val="Normal"/>
        <w:autoSpaceDE w:val="false"/>
        <w:rPr>
          <w:szCs w:val="20"/>
        </w:rPr>
      </w:pPr>
      <w:r>
        <w:rPr>
          <w:szCs w:val="20"/>
        </w:rPr>
        <w:t>Another major trend has been the one that when the markets experience oversupply and weak demand the consumers will try to put pressure over the producers to drive the price downward and vice-versa when the market runs tight it’s the producers who drive the price upward.</w:t>
      </w:r>
    </w:p>
    <w:p>
      <w:pPr>
        <w:pStyle w:val="Normal"/>
        <w:autoSpaceDE w:val="false"/>
        <w:rPr>
          <w:szCs w:val="20"/>
        </w:rPr>
      </w:pPr>
      <w:r>
        <w:rPr>
          <w:szCs w:val="20"/>
        </w:rPr>
        <w:t xml:space="preserve">Another rule of thumb that traders follow has been the NORSCAN inventory level. A level of 1.5 million tonnes makes the break-even point where the price is neutral, and if inventories increase above this level prices tend to fall and if inventory goes below this level prices tend to rise. </w:t>
      </w:r>
    </w:p>
    <w:p>
      <w:pPr>
        <w:pStyle w:val="Normal"/>
        <w:autoSpaceDE w:val="false"/>
        <w:rPr>
          <w:szCs w:val="20"/>
        </w:rPr>
      </w:pPr>
      <w:r>
        <w:rPr>
          <w:szCs w:val="20"/>
        </w:rPr>
        <w:t xml:space="preserve">In addition, large size consumers tend to secure lower prices than the smaller consumers that don’t have the same market power. One of the best examples is Procter &amp; Gamble that uses its buying power to influence the price of raw material. </w:t>
      </w:r>
    </w:p>
    <w:p>
      <w:pPr>
        <w:pStyle w:val="Normal"/>
        <w:rPr>
          <w:szCs w:val="20"/>
        </w:rPr>
      </w:pPr>
      <w:r>
        <w:rPr>
          <w:szCs w:val="20"/>
        </w:rPr>
      </w:r>
    </w:p>
    <w:p>
      <w:pPr>
        <w:pStyle w:val="Heading1"/>
        <w:ind w:hanging="0" w:start="0"/>
        <w:rPr/>
      </w:pPr>
      <w:r>
        <w:rPr/>
        <w:t>Capacity Growth</w:t>
      </w:r>
    </w:p>
    <w:p>
      <w:pPr>
        <w:pStyle w:val="Normal"/>
        <w:autoSpaceDE w:val="false"/>
        <w:rPr>
          <w:szCs w:val="20"/>
        </w:rPr>
      </w:pPr>
      <w:r>
        <w:rPr>
          <w:szCs w:val="20"/>
        </w:rPr>
      </w:r>
    </w:p>
    <w:p>
      <w:pPr>
        <w:pStyle w:val="Normal"/>
        <w:autoSpaceDE w:val="false"/>
        <w:rPr>
          <w:szCs w:val="20"/>
        </w:rPr>
      </w:pPr>
      <w:r>
        <w:rPr>
          <w:szCs w:val="20"/>
        </w:rPr>
        <w:t xml:space="preserve">The consolidation wave seen in the last couple of years combined with the economic troubles experienced in both South-East Asia and Latin America has resulted in a drastic slowdown in the industry’s capacity growth. The most recent FAO survey (1999) projected that world-wide paper and paperboard capacity would grow by an average of only 1.4% per annum compared to a historical rate of 2.8% per annum in the period 1992-1997. Asia has seen the largest drop, as many announced capacity expansions were cancelled and new projects could not get financing. </w:t>
      </w:r>
    </w:p>
    <w:p>
      <w:pPr>
        <w:pStyle w:val="Normal"/>
        <w:autoSpaceDE w:val="false"/>
        <w:rPr>
          <w:szCs w:val="20"/>
        </w:rPr>
      </w:pPr>
      <w:r>
        <w:rPr>
          <w:szCs w:val="20"/>
        </w:rPr>
      </w:r>
    </w:p>
    <w:p>
      <w:pPr>
        <w:pStyle w:val="Heading1"/>
        <w:ind w:hanging="0" w:start="0"/>
        <w:rPr>
          <w:szCs w:val="22"/>
        </w:rPr>
      </w:pPr>
      <w:r>
        <w:rPr>
          <w:szCs w:val="22"/>
        </w:rPr>
        <w:t>Increased Importance of Low Cost Inputs</w:t>
      </w:r>
    </w:p>
    <w:p>
      <w:pPr>
        <w:pStyle w:val="Normal"/>
        <w:autoSpaceDE w:val="false"/>
        <w:rPr>
          <w:rFonts w:ascii="Arial" w:hAnsi="Arial" w:cs="Arial"/>
          <w:b/>
          <w:bCs/>
          <w:szCs w:val="22"/>
        </w:rPr>
      </w:pPr>
      <w:r>
        <w:rPr>
          <w:rFonts w:cs="Arial" w:ascii="Arial" w:hAnsi="Arial"/>
          <w:b/>
          <w:bCs/>
          <w:szCs w:val="22"/>
        </w:rPr>
      </w:r>
    </w:p>
    <w:p>
      <w:pPr>
        <w:pStyle w:val="Normal"/>
        <w:autoSpaceDE w:val="false"/>
        <w:rPr/>
      </w:pPr>
      <w:r>
        <w:rPr>
          <w:szCs w:val="20"/>
        </w:rPr>
        <w:t>Given the typically low and relatively volatile margins in most paper product lines, the availability of low-cost raw inputs such as fibre, energy, labour and logistics costs is typically on of the most important drivers of earnings. The importance of low cost inputs can be seen in terms of costs of wood, which make up 45-65% of the final price for pulp and paper depending on grade and location.</w:t>
      </w:r>
      <w:r>
        <w:rPr>
          <w:szCs w:val="13"/>
        </w:rPr>
        <w:t xml:space="preserve"> </w:t>
      </w:r>
      <w:r>
        <w:rPr>
          <w:szCs w:val="20"/>
        </w:rPr>
        <w:t>Traditionally, Scandinavian producers have had a favorable domestic supply situation, with abundant deposits of softwoods, which is well suited for the manufacture of pulp and paper. However, advances in the processing of hardwood fibres created opportunities for producers in South East Asia and Latin America to considerably expand their pulp and paper production based on fast- growing and cost efficient eucalyptus wood. After wood, the next most important cost factor is energy, as large amounts of energy are required to produce pulp and paper. The large European producers in the Nordic countries have also here been in possession of a competitive advantage given abundant hydro power and low purchased electricity costs. This advantage has also eroded, mainly due to three reasons. First, the deregulation of the Scandinavian energy markets has resulted in low-cost electricity capacity in Scandinavia being linked to the larger, high-priced markets in Continental Europe, leading to increased energy costs. Secondly, the introduction of new pulp mill technology during the last decades has almost eliminated the need for modern mills to purchase electricity externally, as the energy created in the pulping process can be used in the paper production. In addition, lower logging and transport costs have also helped to improve the relative cost position.</w:t>
      </w:r>
    </w:p>
    <w:p>
      <w:pPr>
        <w:pStyle w:val="Normal"/>
        <w:autoSpaceDE w:val="false"/>
        <w:rPr>
          <w:szCs w:val="20"/>
        </w:rPr>
      </w:pPr>
      <w:r>
        <w:rPr>
          <w:szCs w:val="20"/>
        </w:rPr>
        <w:t>Nordic paper producers are in direct competition with North American producers in certain paper grades, such as pulp, newsprint and linerboard. Thus, exchange rate changes have a significant direct effect on the profit outlook for the Scandinavian paper companies</w:t>
      </w:r>
    </w:p>
    <w:p>
      <w:pPr>
        <w:pStyle w:val="Normal"/>
        <w:autoSpaceDE w:val="false"/>
        <w:rPr>
          <w:szCs w:val="20"/>
        </w:rPr>
      </w:pPr>
      <w:r>
        <w:rPr>
          <w:szCs w:val="20"/>
        </w:rPr>
      </w:r>
    </w:p>
    <w:p>
      <w:pPr>
        <w:pStyle w:val="Normal"/>
        <w:autoSpaceDE w:val="false"/>
        <w:rPr>
          <w:szCs w:val="20"/>
        </w:rPr>
      </w:pPr>
      <w:r>
        <w:rPr>
          <w:szCs w:val="20"/>
        </w:rPr>
      </w:r>
    </w:p>
    <w:p>
      <w:pPr>
        <w:pStyle w:val="Normal"/>
        <w:autoSpaceDE w:val="false"/>
        <w:rPr>
          <w:sz w:val="20"/>
          <w:szCs w:val="20"/>
        </w:rPr>
      </w:pPr>
      <w:r>
        <w:rPr>
          <w:sz w:val="20"/>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outlineLvl w:val="0"/>
    </w:pPr>
    <w:rPr>
      <w:b/>
      <w:bCs/>
      <w:szCs w:val="20"/>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autoSpaceDE w:val="false"/>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2001-07-16T10:17:00Z</dcterms:created>
  <dc:creator>mcaushol</dc:creator>
  <dc:description/>
  <dc:language>en-CA</dc:language>
  <cp:lastModifiedBy>mcaushol</cp:lastModifiedBy>
  <cp:lastPrinted>2001-07-05T13:52:00Z</cp:lastPrinted>
  <dcterms:modified xsi:type="dcterms:W3CDTF">2001-07-16T10:17:00Z</dcterms:modified>
  <cp:revision>3</cp:revision>
  <dc:subject/>
  <dc:title>Market Pulp Summary</dc:title>
</cp:coreProperties>
</file>