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Heading1"/>
        <w:ind w:firstLine="720" w:start="3600" w:end="0"/>
        <w:jc w:val="both"/>
        <w:rPr/>
      </w:pPr>
      <w:r>
        <w:rPr/>
        <w:t>October 10, 2000</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Enron Engineering &amp; Construction Company</w:t>
      </w:r>
    </w:p>
    <w:p>
      <w:pPr>
        <w:pStyle w:val="Normal"/>
        <w:jc w:val="both"/>
        <w:rPr>
          <w:sz w:val="24"/>
        </w:rPr>
      </w:pPr>
      <w:r>
        <w:rPr>
          <w:sz w:val="24"/>
        </w:rPr>
        <w:t>__________________</w:t>
      </w:r>
    </w:p>
    <w:p>
      <w:pPr>
        <w:pStyle w:val="Normal"/>
        <w:jc w:val="both"/>
        <w:rPr>
          <w:sz w:val="24"/>
        </w:rPr>
      </w:pPr>
      <w:r>
        <w:rPr>
          <w:sz w:val="24"/>
        </w:rPr>
        <w:t>Houston, Texas 77002</w:t>
      </w:r>
    </w:p>
    <w:p>
      <w:pPr>
        <w:pStyle w:val="Normal"/>
        <w:jc w:val="both"/>
        <w:rPr>
          <w:sz w:val="24"/>
        </w:rPr>
      </w:pPr>
      <w:r>
        <w:rPr>
          <w:sz w:val="24"/>
        </w:rPr>
      </w:r>
    </w:p>
    <w:p>
      <w:pPr>
        <w:pStyle w:val="Normal"/>
        <w:ind w:hanging="720" w:start="720" w:end="0"/>
        <w:jc w:val="both"/>
        <w:rPr/>
      </w:pPr>
      <w:r>
        <w:rPr>
          <w:sz w:val="24"/>
        </w:rPr>
        <w:t>Re:</w:t>
        <w:tab/>
      </w:r>
      <w:r>
        <w:rPr>
          <w:b/>
          <w:sz w:val="24"/>
        </w:rPr>
        <w:t>Bid Proposal for Shaft Horsepower for Florida Gas Transmission Company (“FGT”) Station 27 – Seffner, Florida Station (the “Bid Proposal”)</w:t>
      </w:r>
    </w:p>
    <w:p>
      <w:pPr>
        <w:pStyle w:val="Normal"/>
        <w:ind w:hanging="720" w:start="720" w:end="0"/>
        <w:jc w:val="both"/>
        <w:rPr>
          <w:b/>
          <w:i/>
          <w:i/>
          <w:sz w:val="24"/>
        </w:rPr>
      </w:pPr>
      <w:r>
        <w:rPr>
          <w:b/>
          <w:i/>
          <w:sz w:val="24"/>
        </w:rPr>
      </w:r>
    </w:p>
    <w:p>
      <w:pPr>
        <w:pStyle w:val="Normal"/>
        <w:ind w:hanging="720" w:start="720" w:end="0"/>
        <w:jc w:val="both"/>
        <w:rPr>
          <w:sz w:val="24"/>
        </w:rPr>
      </w:pPr>
      <w:r>
        <w:rPr>
          <w:sz w:val="24"/>
        </w:rPr>
        <w:t>Dear Sirs:</w:t>
      </w:r>
    </w:p>
    <w:p>
      <w:pPr>
        <w:pStyle w:val="Normal"/>
        <w:ind w:hanging="720" w:start="720" w:end="0"/>
        <w:jc w:val="both"/>
        <w:rPr>
          <w:sz w:val="24"/>
        </w:rPr>
      </w:pPr>
      <w:r>
        <w:rPr>
          <w:sz w:val="24"/>
        </w:rPr>
      </w:r>
    </w:p>
    <w:p>
      <w:pPr>
        <w:pStyle w:val="BodyTextIndent"/>
        <w:spacing w:lineRule="auto" w:line="240"/>
        <w:ind w:hanging="0" w:start="0" w:end="0"/>
        <w:rPr/>
      </w:pPr>
      <w:r>
        <w:rPr/>
        <w:t xml:space="preserve">Enron Compression Services Company (“ECS”) has recently forward the Bid Proposal which was prepared by FGT to Enron Engineering &amp; Construction Company (“EE&amp;CC”).  ECS hereby request to EE&amp;CC to prepare a turn-key estimate for the engineering, design, procurement, and construction (in accordance with the specifications set forth in the Bid Proposal) of (i) the Compressor Motor and (ii) the Interconnection Facilities, as such items are defined in the Bid Proposal.  The turn-key estimate shall be EE&amp;CC’s complete bid for all costs to complete the engineering, design, procurement, and construction (in accordance with the specifications set forth in the Bid Proposal) of (i) the Compressor Motor and (ii) the Interconnection Facilities and shall include provisions for all construction conditions at the location of the site for FGT’s Station 27 near Seffner, Florida. </w:t>
      </w:r>
    </w:p>
    <w:p>
      <w:pPr>
        <w:pStyle w:val="BodyTextIndent"/>
        <w:spacing w:lineRule="auto" w:line="240"/>
        <w:ind w:hanging="0" w:start="0" w:end="0"/>
        <w:rPr/>
      </w:pPr>
      <w:r>
        <w:rPr/>
      </w:r>
    </w:p>
    <w:p>
      <w:pPr>
        <w:pStyle w:val="BodyTextIndent"/>
        <w:spacing w:lineRule="auto" w:line="240"/>
        <w:ind w:hanging="0" w:start="0" w:end="0"/>
        <w:rPr/>
      </w:pPr>
      <w:r>
        <w:rPr/>
        <w:t xml:space="preserve">EE&amp;CC agrees that it will not disclose to any person or entity, any information furnished by ECS to EE&amp;CC concerning the Bid Proposal or any information prepared by EE&amp;CC pursuant to this letter agreement, including without limitation, any reports, data, or the turn-key estimate, without the prior written consent of ECS.  </w:t>
      </w:r>
    </w:p>
    <w:p>
      <w:pPr>
        <w:pStyle w:val="BodyTextIndent"/>
        <w:spacing w:lineRule="auto" w:line="240"/>
        <w:ind w:hanging="0" w:start="0" w:end="0"/>
        <w:rPr/>
      </w:pPr>
      <w:r>
        <w:rPr/>
      </w:r>
    </w:p>
    <w:p>
      <w:pPr>
        <w:pStyle w:val="BodyTextIndent"/>
        <w:spacing w:lineRule="auto" w:line="240"/>
        <w:ind w:hanging="0" w:start="0" w:end="0"/>
        <w:rPr/>
      </w:pPr>
      <w:r>
        <w:rPr/>
        <w:t xml:space="preserve">ECS and EE&amp;CC do hereby acknowledge and agree that neither ECS nor EE&amp;CC shall be obligated in any manner whatsoever to enter into any relationship or transaction of any kind whatsoever, or the negotiation therefor, as a result of this agreement, or any of the matters herein contemplated.  Each of ECS and EE&amp;CC will not claim or demand from the other, and their will arise no obligation to make payment for, any fee, commission or other kind of compensation in money, property or otherwise, now or at any time in the future, in connection with this letter agreement or the Bid Proposal, unless and until a definitive written agreement is negotiated, authorized, executed and delivered.  The parties acknowledge that there is now no understanding to negotiate, execute and deliver any such written agreement.  </w:t>
      </w:r>
    </w:p>
    <w:p>
      <w:pPr>
        <w:pStyle w:val="BodyTextIndent"/>
        <w:spacing w:lineRule="auto" w:line="240"/>
        <w:ind w:hanging="0" w:start="0" w:end="0"/>
        <w:rPr/>
      </w:pPr>
      <w:r>
        <w:rPr/>
      </w:r>
    </w:p>
    <w:p>
      <w:pPr>
        <w:pStyle w:val="Normal"/>
        <w:jc w:val="both"/>
        <w:rPr/>
      </w:pPr>
      <w:r>
        <w:rPr>
          <w:sz w:val="24"/>
        </w:rPr>
        <w:t>THIS LETTER AGREEMENT AND THE RIGHTS AND DUTIES OF THE PARTIES ARISING OUT OF THIS AGREEMENT SHALL BE GOVERNED BY AND CONSTRUED, ENFORCED AND PERFORMED IN ACCORDANCE WITH THE LAWS OF THE STATE OF TEXAS, WITHOUT REGARD TO PRINCIPLES OF CONFLICTS OF LAW.  THE PARTIES AGREE THAT THIS LETTER AGREEMENT SHALL BE ACCEPTED AND FORMED IN THE STATE OF TEXAS.  Any dispute relating to this letter agreement shall be resolved by binding arbitration pursuant to the Commercial Arbitration Rules of the American Arbitration Association ("</w:t>
      </w:r>
      <w:r>
        <w:rPr>
          <w:sz w:val="24"/>
          <w:u w:val="single"/>
        </w:rPr>
        <w:t>AAA</w:t>
      </w:r>
      <w:r>
        <w:rPr>
          <w:sz w:val="24"/>
        </w:rPr>
        <w:t xml:space="preserve">") and all such proceedings shall be subject to the Federal Arbitration Act.  Each party shall select one arbitrator and the two arbitrators shall select a third arbitrator who has not previously been employed by either ECS or EE&amp;CC and does not have a direct or indirect interest in either ECS or EE&amp;CC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w:t>
      </w:r>
    </w:p>
    <w:p>
      <w:pPr>
        <w:pStyle w:val="Normal"/>
        <w:jc w:val="both"/>
        <w:rPr>
          <w:sz w:val="24"/>
        </w:rPr>
      </w:pPr>
      <w:r>
        <w:rPr>
          <w:sz w:val="24"/>
        </w:rPr>
      </w:r>
    </w:p>
    <w:p>
      <w:pPr>
        <w:pStyle w:val="Normal"/>
        <w:jc w:val="both"/>
        <w:rPr>
          <w:sz w:val="24"/>
        </w:rPr>
      </w:pPr>
      <w:r>
        <w:rPr>
          <w:sz w:val="24"/>
        </w:rPr>
        <w:t>This letter agreement shall terminate on the date one (1) year from the date hereof.</w:t>
      </w:r>
    </w:p>
    <w:p>
      <w:pPr>
        <w:pStyle w:val="Normal"/>
        <w:jc w:val="both"/>
        <w:rPr>
          <w:sz w:val="24"/>
        </w:rPr>
      </w:pPr>
      <w:r>
        <w:rPr>
          <w:sz w:val="24"/>
        </w:rPr>
      </w:r>
    </w:p>
    <w:p>
      <w:pPr>
        <w:pStyle w:val="Normal"/>
        <w:jc w:val="both"/>
        <w:rPr>
          <w:sz w:val="24"/>
        </w:rPr>
      </w:pPr>
      <w:r>
        <w:rPr>
          <w:sz w:val="24"/>
        </w:rPr>
        <w:t>In the event that this letter agreement accurately reflects your understanding of our agreement, please execute all copies of this letter and return two fully executed originals to the undersigned.  This agreement shall not be effective or enforceable until executed by all party signatories set forth below.</w:t>
      </w:r>
    </w:p>
    <w:p>
      <w:pPr>
        <w:pStyle w:val="Normal"/>
        <w:ind w:start="4320" w:end="0"/>
        <w:jc w:val="both"/>
        <w:rPr>
          <w:sz w:val="24"/>
        </w:rPr>
      </w:pPr>
      <w:r>
        <w:rPr>
          <w:sz w:val="24"/>
        </w:rPr>
      </w:r>
    </w:p>
    <w:p>
      <w:pPr>
        <w:pStyle w:val="Normal"/>
        <w:ind w:start="4320" w:end="0"/>
        <w:jc w:val="both"/>
        <w:rPr>
          <w:sz w:val="24"/>
        </w:rPr>
      </w:pPr>
      <w:r>
        <w:rPr>
          <w:sz w:val="24"/>
        </w:rPr>
      </w:r>
    </w:p>
    <w:p>
      <w:pPr>
        <w:pStyle w:val="Normal"/>
        <w:ind w:start="4320" w:end="0"/>
        <w:jc w:val="both"/>
        <w:rPr>
          <w:sz w:val="24"/>
        </w:rPr>
      </w:pPr>
      <w:r>
        <w:rPr>
          <w:sz w:val="24"/>
        </w:rPr>
        <w:t>Very truly yours,</w:t>
      </w:r>
    </w:p>
    <w:p>
      <w:pPr>
        <w:pStyle w:val="Normal"/>
        <w:ind w:start="4320" w:end="0"/>
        <w:jc w:val="both"/>
        <w:rPr>
          <w:sz w:val="24"/>
        </w:rPr>
      </w:pPr>
      <w:r>
        <w:rPr>
          <w:sz w:val="24"/>
        </w:rPr>
      </w:r>
    </w:p>
    <w:p>
      <w:pPr>
        <w:pStyle w:val="Heading2"/>
        <w:ind w:hanging="0" w:start="0"/>
        <w:rPr/>
      </w:pPr>
      <w:r>
        <w:rPr/>
        <w:tab/>
        <w:tab/>
        <w:tab/>
        <w:tab/>
        <w:tab/>
        <w:tab/>
        <w:t>Enron Compression Services Company</w:t>
      </w:r>
    </w:p>
    <w:p>
      <w:pPr>
        <w:pStyle w:val="BodyText2"/>
        <w:rPr/>
      </w:pPr>
      <w:r>
        <w:rPr/>
        <w:tab/>
        <w:tab/>
        <w:tab/>
      </w:r>
    </w:p>
    <w:p>
      <w:pPr>
        <w:pStyle w:val="BodyText2"/>
        <w:rPr/>
      </w:pPr>
      <w:r>
        <w:rPr/>
        <w:tab/>
        <w:t>By:________________________________</w:t>
        <w:tab/>
        <w:tab/>
        <w:t>Name:______________________________</w:t>
      </w:r>
    </w:p>
    <w:p>
      <w:pPr>
        <w:pStyle w:val="BodyText2"/>
        <w:rPr/>
      </w:pPr>
      <w:r>
        <w:rPr/>
        <w:tab/>
        <w:t>Title:_______________________________</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AGREED TO and accepted</w:t>
      </w:r>
    </w:p>
    <w:p>
      <w:pPr>
        <w:pStyle w:val="Normal"/>
        <w:jc w:val="both"/>
        <w:rPr>
          <w:sz w:val="24"/>
        </w:rPr>
      </w:pPr>
      <w:r>
        <w:rPr>
          <w:sz w:val="24"/>
        </w:rPr>
        <w:t>this ___ day of October , 2000</w:t>
      </w:r>
    </w:p>
    <w:p>
      <w:pPr>
        <w:pStyle w:val="Normal"/>
        <w:jc w:val="both"/>
        <w:rPr>
          <w:sz w:val="24"/>
        </w:rPr>
      </w:pPr>
      <w:r>
        <w:rPr>
          <w:sz w:val="24"/>
        </w:rPr>
      </w:r>
    </w:p>
    <w:p>
      <w:pPr>
        <w:pStyle w:val="Heading2"/>
        <w:ind w:hanging="0" w:start="0"/>
        <w:rPr/>
      </w:pPr>
      <w:r>
        <w:rPr/>
        <w:t>Enron Engineering &amp; Construction Company</w:t>
      </w:r>
    </w:p>
    <w:p>
      <w:pPr>
        <w:pStyle w:val="Normal"/>
        <w:jc w:val="both"/>
        <w:rPr>
          <w:sz w:val="24"/>
        </w:rPr>
      </w:pPr>
      <w:r>
        <w:rPr>
          <w:sz w:val="24"/>
        </w:rPr>
      </w:r>
    </w:p>
    <w:p>
      <w:pPr>
        <w:pStyle w:val="Normal"/>
        <w:tabs>
          <w:tab w:val="left" w:pos="720" w:leader="none"/>
          <w:tab w:val="right" w:pos="4320" w:leader="none"/>
        </w:tabs>
        <w:jc w:val="both"/>
        <w:rPr>
          <w:sz w:val="24"/>
        </w:rPr>
      </w:pPr>
      <w:r>
        <w:rPr>
          <w:sz w:val="24"/>
        </w:rPr>
        <w:t>By:______________________________________</w:t>
      </w:r>
    </w:p>
    <w:p>
      <w:pPr>
        <w:pStyle w:val="Normal"/>
        <w:tabs>
          <w:tab w:val="left" w:pos="360" w:leader="none"/>
          <w:tab w:val="left" w:pos="720" w:leader="none"/>
          <w:tab w:val="right" w:pos="4320" w:leader="none"/>
        </w:tabs>
        <w:jc w:val="both"/>
        <w:rPr>
          <w:sz w:val="24"/>
        </w:rPr>
      </w:pPr>
      <w:r>
        <w:rPr>
          <w:sz w:val="24"/>
        </w:rPr>
        <w:t>Name:____________________________________</w:t>
      </w:r>
    </w:p>
    <w:p>
      <w:pPr>
        <w:pStyle w:val="Normal"/>
        <w:tabs>
          <w:tab w:val="left" w:pos="360" w:leader="none"/>
          <w:tab w:val="left" w:pos="720" w:leader="none"/>
          <w:tab w:val="right" w:pos="4320" w:leader="none"/>
        </w:tabs>
        <w:jc w:val="both"/>
        <w:rPr>
          <w:sz w:val="24"/>
        </w:rPr>
      </w:pPr>
      <w:r>
        <w:rPr>
          <w:sz w:val="24"/>
        </w:rPr>
        <w:t>Title:_____________________________________</w:t>
      </w:r>
    </w:p>
    <w:p>
      <w:pPr>
        <w:pStyle w:val="BodyText"/>
        <w:jc w:val="both"/>
        <w:rPr>
          <w:b/>
          <w:sz w:val="24"/>
        </w:rPr>
      </w:pPr>
      <w:r>
        <w:rPr>
          <w:b/>
          <w:sz w:val="24"/>
        </w:rPr>
      </w:r>
    </w:p>
    <w:sectPr>
      <w:headerReference w:type="default" r:id="rId2"/>
      <w:headerReference w:type="first" r:id="rId3"/>
      <w:footerReference w:type="default" r:id="rId4"/>
      <w:footerReference w:type="first" r:id="rId5"/>
      <w:type w:val="nextPage"/>
      <w:pgSz w:w="12240" w:h="15840"/>
      <w:pgMar w:left="1800" w:right="1800" w:gutter="0" w:header="720" w:top="1440" w:footer="720" w:bottom="80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Enron Compression Services Company</w:t>
    </w:r>
  </w:p>
  <w:p>
    <w:pPr>
      <w:pStyle w:val="Header"/>
      <w:jc w:val="end"/>
      <w:rPr>
        <w:b/>
      </w:rPr>
    </w:pPr>
    <w:r>
      <w:rPr>
        <w:b/>
      </w:rPr>
      <w:t>1400 Smith Street</w:t>
    </w:r>
  </w:p>
  <w:p>
    <w:pPr>
      <w:pStyle w:val="Header"/>
      <w:jc w:val="end"/>
      <w:rPr>
        <w:b/>
      </w:rPr>
    </w:pPr>
    <w:r>
      <w:rPr>
        <w:b/>
      </w:rPr>
      <w:t>Houston, Texas  77002</w:t>
    </w:r>
  </w:p>
  <w:p>
    <w:pPr>
      <w:pStyle w:val="Header"/>
      <w:rPr>
        <w:b/>
      </w:rPr>
    </w:pPr>
    <w:r>
      <w:rPr>
        <w:b/>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jc w:val="both"/>
      <w:outlineLvl w:val="1"/>
    </w:pPr>
    <w:rPr>
      <w:b/>
      <w:bCs/>
      <w:sz w:val="24"/>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spacing w:lineRule="auto" w:line="480"/>
      <w:ind w:hanging="720" w:start="720" w:end="0"/>
      <w:jc w:val="both"/>
    </w:pPr>
    <w:rPr>
      <w:sz w:val="24"/>
    </w:rPr>
  </w:style>
  <w:style w:type="paragraph" w:styleId="BodyText2">
    <w:name w:val="Body Text 2"/>
    <w:basedOn w:val="Normal"/>
    <w:qFormat/>
    <w:pPr>
      <w:tabs>
        <w:tab w:val="clear" w:pos="720"/>
        <w:tab w:val="left" w:pos="4320" w:leader="none"/>
      </w:tabs>
      <w:jc w:val="both"/>
    </w:pPr>
    <w:rPr>
      <w:sz w:val="24"/>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507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2000-10-10T12:10:00Z</dcterms:created>
  <dc:creator>gnemec</dc:creator>
  <dc:description/>
  <dc:language>en-CA</dc:language>
  <cp:lastModifiedBy>gnemec</cp:lastModifiedBy>
  <cp:lastPrinted>2000-10-10T16:18:00Z</cp:lastPrinted>
  <dcterms:modified xsi:type="dcterms:W3CDTF">2000-10-10T20:43:00Z</dcterms:modified>
  <cp:revision>19</cp:revision>
  <dc:subject/>
  <dc:title>April 9, 1996</dc:title>
</cp:coreProperties>
</file>