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215" w:hRule="exact"/>
        </w:trPr>
        <w:tc>
          <w:tcPr>
            <w:tcW w:w="708" w:type="dxa"/>
            <w:tcBorders/>
          </w:tcPr>
          <w:p>
            <w:pPr>
              <w:pStyle w:val="Normal"/>
              <w:widowControl/>
              <w:ind w:start="-180" w:end="0"/>
              <w:jc w:val="end"/>
              <w:rPr/>
            </w:pPr>
            <w:r>
              <w:rPr>
                <w:rFonts w:cs="Times New Roman" w:ascii="Times New Roman" w:hAnsi="Times New Roman"/>
                <w:sz w:val="16"/>
              </w:rPr>
              <w:t>To</w:t>
            </w:r>
            <w:r>
              <w:rPr>
                <w:sz w:val="16"/>
              </w:rPr>
              <w:t>:</w:t>
            </w:r>
          </w:p>
        </w:tc>
        <w:tc>
          <w:tcPr>
            <w:tcW w:w="6045" w:type="dxa"/>
            <w:tcBorders/>
          </w:tcPr>
          <w:p>
            <w:pPr>
              <w:pStyle w:val="To"/>
              <w:widowControl/>
              <w:rPr>
                <w:rFonts w:ascii="Times New Roman" w:hAnsi="Times New Roman" w:cs="Times New Roman"/>
              </w:rPr>
            </w:pPr>
            <w:r>
              <w:rPr>
                <w:rFonts w:cs="Times New Roman" w:ascii="Times New Roman" w:hAnsi="Times New Roman"/>
              </w:rPr>
              <w:t>Brent Price</w:t>
            </w:r>
          </w:p>
          <w:p>
            <w:pPr>
              <w:pStyle w:val="To"/>
              <w:widowControl/>
              <w:rPr>
                <w:rFonts w:ascii="Times New Roman" w:hAnsi="Times New Roman" w:cs="Times New Roman"/>
              </w:rPr>
            </w:pPr>
            <w:r>
              <w:rPr>
                <w:rFonts w:cs="Times New Roman" w:ascii="Times New Roman" w:hAnsi="Times New Roman"/>
              </w:rPr>
              <w:t>Shona Wilson</w:t>
            </w:r>
          </w:p>
          <w:p>
            <w:pPr>
              <w:pStyle w:val="To"/>
              <w:widowControl/>
              <w:rPr>
                <w:rFonts w:ascii="Times New Roman" w:hAnsi="Times New Roman" w:cs="Times New Roman"/>
              </w:rPr>
            </w:pPr>
            <w:r>
              <w:rPr>
                <w:rFonts w:cs="Times New Roman" w:ascii="Times New Roman" w:hAnsi="Times New Roman"/>
              </w:rPr>
              <w:t>Richard Sage</w:t>
            </w:r>
          </w:p>
          <w:p>
            <w:pPr>
              <w:pStyle w:val="To"/>
              <w:widowControl/>
              <w:rPr>
                <w:rFonts w:ascii="Times New Roman" w:hAnsi="Times New Roman" w:cs="Times New Roman"/>
              </w:rPr>
            </w:pPr>
            <w:r>
              <w:rPr>
                <w:rFonts w:cs="Times New Roman" w:ascii="Times New Roman" w:hAnsi="Times New Roman"/>
              </w:rPr>
              <w:t>Mike Jordan</w:t>
            </w:r>
          </w:p>
          <w:p>
            <w:pPr>
              <w:pStyle w:val="To"/>
              <w:widowControl/>
              <w:rPr>
                <w:rFonts w:ascii="Times New Roman" w:hAnsi="Times New Roman" w:cs="Times New Roman"/>
              </w:rPr>
            </w:pPr>
            <w:r>
              <w:rPr>
                <w:rFonts w:cs="Times New Roman" w:ascii="Times New Roman" w:hAnsi="Times New Roman"/>
              </w:rPr>
              <w:t>File</w:t>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77" w:hRule="exact"/>
        </w:trPr>
        <w:tc>
          <w:tcPr>
            <w:tcW w:w="708" w:type="dxa"/>
            <w:tcBorders/>
          </w:tcPr>
          <w:p>
            <w:pPr>
              <w:pStyle w:val="Normal"/>
              <w:widowControl/>
              <w:ind w:start="-180" w:end="0"/>
              <w:jc w:val="end"/>
              <w:rPr/>
            </w:pPr>
            <w:r>
              <w:rPr>
                <w:rFonts w:cs="Times New Roman" w:ascii="Times New Roman" w:hAnsi="Times New Roman"/>
                <w:sz w:val="16"/>
              </w:rPr>
              <w:t>From</w:t>
            </w:r>
            <w:r>
              <w:rPr>
                <w:sz w:val="16"/>
              </w:rPr>
              <w:t>:</w:t>
            </w:r>
          </w:p>
        </w:tc>
        <w:tc>
          <w:tcPr>
            <w:tcW w:w="6045" w:type="dxa"/>
            <w:tcBorders/>
          </w:tcPr>
          <w:p>
            <w:pPr>
              <w:pStyle w:val="From"/>
              <w:widowControl/>
              <w:rPr>
                <w:rFonts w:ascii="Times New Roman" w:hAnsi="Times New Roman" w:cs="Times New Roman"/>
              </w:rPr>
            </w:pPr>
            <w:r>
              <w:rPr>
                <w:rFonts w:cs="Times New Roman" w:ascii="Times New Roman" w:hAnsi="Times New Roman"/>
              </w:rPr>
              <w:t>Michael Moscoso</w:t>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Risk Management</w:t>
            </w:r>
          </w:p>
        </w:tc>
      </w:tr>
      <w:tr>
        <w:trPr>
          <w:trHeight w:val="117"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32" w:hRule="exact"/>
        </w:trPr>
        <w:tc>
          <w:tcPr>
            <w:tcW w:w="708" w:type="dxa"/>
            <w:tcBorders>
              <w:bottom w:val="single" w:sz="12" w:space="0" w:color="000000"/>
            </w:tcBorders>
          </w:tcPr>
          <w:p>
            <w:pPr>
              <w:pStyle w:val="Normal"/>
              <w:widowControl/>
              <w:ind w:start="-180" w:end="0"/>
              <w:jc w:val="end"/>
              <w:rPr/>
            </w:pPr>
            <w:r>
              <w:rPr>
                <w:rFonts w:cs="Times New Roman" w:ascii="Times New Roman" w:hAnsi="Times New Roman"/>
                <w:sz w:val="16"/>
              </w:rPr>
              <w:t>Subject</w:t>
            </w:r>
            <w:r>
              <w:rPr>
                <w:sz w:val="16"/>
              </w:rPr>
              <w: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MG – St. Louis Office Visit</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t>July 24, 2000</w:t>
            </w:r>
          </w:p>
        </w:tc>
      </w:tr>
    </w:tbl>
    <w:p>
      <w:pPr>
        <w:pStyle w:val="Body"/>
        <w:widowControl/>
        <w:ind w:start="0" w:end="0"/>
        <w:rPr>
          <w:rFonts w:ascii="Times New Roman" w:hAnsi="Times New Roman" w:cs="Times New Roman"/>
          <w:color w:val="000000"/>
        </w:rPr>
      </w:pPr>
      <w:r>
        <w:rPr>
          <w:rFonts w:cs="Times New Roman" w:ascii="Times New Roman" w:hAnsi="Times New Roman"/>
          <w:color w:val="000000"/>
        </w:rPr>
      </w:r>
      <w:bookmarkStart w:id="1" w:name="StartOfMemo"/>
      <w:bookmarkStart w:id="2" w:name="StartOfMemo"/>
      <w:bookmarkEnd w:id="2"/>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The following is a summary of my observations regarding the visit to MG’s St. Louis office:</w:t>
      </w:r>
    </w:p>
    <w:p>
      <w:pPr>
        <w:pStyle w:val="Normal"/>
        <w:tabs>
          <w:tab w:val="left" w:pos="540" w:leader="none"/>
          <w:tab w:val="left" w:pos="4320" w:leader="none"/>
          <w:tab w:val="left" w:pos="8640" w:leader="none"/>
        </w:tabs>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General</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The St. Louis office transacts business under the ‘MG Metal &amp; Commodity Corp’ legal entity.  It buys and sells physical scrap copper and copper-based products (red-metal scrap).  The division began operations in January 2000.  This business began as a natural extension of the refined metals trading business as the same counterparties are used for scrap metal trading.  The start-up phase for this division was for 6 months through June 30, 2000.  The strategy now is to expand the business.  The main products traded include the following:</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numPr>
          <w:ilvl w:val="0"/>
          <w:numId w:val="5"/>
        </w:numPr>
        <w:tabs>
          <w:tab w:val="left" w:pos="450" w:leader="none"/>
          <w:tab w:val="left" w:pos="540" w:leader="none"/>
        </w:tabs>
        <w:spacing w:lineRule="atLeast" w:line="240"/>
        <w:ind w:hanging="360" w:start="450" w:end="0"/>
        <w:rPr>
          <w:rFonts w:ascii="Times New Roman" w:hAnsi="Times New Roman" w:cs="Times New Roman"/>
          <w:color w:val="000000"/>
          <w:sz w:val="20"/>
          <w:lang w:eastAsia="en-US"/>
        </w:rPr>
      </w:pPr>
      <w:r>
        <w:rPr>
          <w:rFonts w:cs="Times New Roman" w:ascii="Times New Roman" w:hAnsi="Times New Roman"/>
          <w:color w:val="000000"/>
          <w:sz w:val="20"/>
          <w:lang w:eastAsia="en-US"/>
        </w:rPr>
        <w:t>#1 Bare Bright Copper Choppings</w:t>
      </w:r>
    </w:p>
    <w:p>
      <w:pPr>
        <w:pStyle w:val="Normal"/>
        <w:numPr>
          <w:ilvl w:val="0"/>
          <w:numId w:val="5"/>
        </w:numPr>
        <w:tabs>
          <w:tab w:val="left" w:pos="450" w:leader="none"/>
          <w:tab w:val="left" w:pos="540" w:leader="none"/>
        </w:tabs>
        <w:spacing w:lineRule="atLeast" w:line="240"/>
        <w:ind w:hanging="360" w:start="450" w:end="0"/>
        <w:rPr>
          <w:rFonts w:ascii="Times New Roman" w:hAnsi="Times New Roman" w:cs="Times New Roman"/>
          <w:color w:val="000000"/>
          <w:sz w:val="20"/>
          <w:lang w:eastAsia="en-US"/>
        </w:rPr>
      </w:pPr>
      <w:r>
        <w:rPr>
          <w:rFonts w:cs="Times New Roman" w:ascii="Times New Roman" w:hAnsi="Times New Roman"/>
          <w:color w:val="000000"/>
          <w:sz w:val="20"/>
          <w:lang w:eastAsia="en-US"/>
        </w:rPr>
        <w:t>#1 Bare Bright Copper Scrap</w:t>
      </w:r>
    </w:p>
    <w:p>
      <w:pPr>
        <w:pStyle w:val="Normal"/>
        <w:numPr>
          <w:ilvl w:val="0"/>
          <w:numId w:val="5"/>
        </w:numPr>
        <w:tabs>
          <w:tab w:val="left" w:pos="450" w:leader="none"/>
          <w:tab w:val="left" w:pos="540" w:leader="none"/>
        </w:tabs>
        <w:spacing w:lineRule="atLeast" w:line="240"/>
        <w:ind w:hanging="360" w:start="450" w:end="0"/>
        <w:rPr>
          <w:rFonts w:ascii="Times New Roman" w:hAnsi="Times New Roman" w:cs="Times New Roman"/>
          <w:color w:val="000000"/>
          <w:sz w:val="20"/>
          <w:lang w:eastAsia="en-US"/>
        </w:rPr>
      </w:pPr>
      <w:r>
        <w:rPr>
          <w:rFonts w:cs="Times New Roman" w:ascii="Times New Roman" w:hAnsi="Times New Roman"/>
          <w:color w:val="000000"/>
          <w:sz w:val="20"/>
          <w:lang w:eastAsia="en-US"/>
        </w:rPr>
        <w:t>#1 Copper Scrap</w:t>
      </w:r>
    </w:p>
    <w:p>
      <w:pPr>
        <w:pStyle w:val="Normal"/>
        <w:numPr>
          <w:ilvl w:val="0"/>
          <w:numId w:val="5"/>
        </w:numPr>
        <w:tabs>
          <w:tab w:val="left" w:pos="450" w:leader="none"/>
          <w:tab w:val="left" w:pos="540" w:leader="none"/>
        </w:tabs>
        <w:spacing w:lineRule="atLeast" w:line="240"/>
        <w:ind w:hanging="360" w:start="450" w:end="0"/>
        <w:rPr>
          <w:rFonts w:ascii="Times New Roman" w:hAnsi="Times New Roman" w:cs="Times New Roman"/>
          <w:color w:val="000000"/>
          <w:sz w:val="20"/>
          <w:lang w:eastAsia="en-US"/>
        </w:rPr>
      </w:pPr>
      <w:r>
        <w:rPr>
          <w:rFonts w:cs="Times New Roman" w:ascii="Times New Roman" w:hAnsi="Times New Roman"/>
          <w:color w:val="000000"/>
          <w:sz w:val="20"/>
          <w:lang w:eastAsia="en-US"/>
        </w:rPr>
        <w:t>#2 Copper Scrap</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These products have the most liquidity and represent the majority of the business.  The Division’s overall product list includes over 40 scrap copper products.   Product purchases are primarily from industry (i.e. wire manufacturers, auto manufacturers, and scrap dealers).  Sales are primarily to domestic brass mills, tube mills and brass ingot manufacturers.  The division has some minor exports to overseas refineries, primarily in Mexico and the Far East.  There are virtually no imports.   This division executes anywhere from no deals to 15 deals per day.  Generally, activity increases as market prices become more active.  Most contracts are short-term in nature (a few months).  There have been approximately 500 contracts so far this year.  All buys and sells are taken to physical delivery.  Buys and sells are coordinated so material is picked up from the source counterparty and delivered to the consumer, typically via truck.  No inventory is kept by the division.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Physical contracts are hedged with COMEX contracts.  These financial contracts are executed by the New York office (Joe Robertson primarily and 3 others).   The NY office executes the deal and confirms the execution of the deal to the St. Louis office. The only net open risk position the division maintains on a daily basis is the difference in volumes between physical contracts and COMEX contracts which do not match (standard COMEX contract is 25,000 lbs vs. physical volumes which are typically in 42,000 lbs increments).  Certain materials are non-hedgeable with COMEX contracts.  These are hedged by entering offsetting purchases and sales deals with the same delivery month.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Heading1"/>
        <w:ind w:hanging="0" w:start="0"/>
        <w:rPr/>
      </w:pPr>
      <w:r>
        <w:rPr/>
        <w:t>Personnel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The St. Louis office has 3 employees.  Michael Casey is a Vice President and is responsible for the entire operation.  He executes trades on a daily basis and primarily focuses on industrial accounts.  Mike has over 30 years of experience in scrap metal trading.  Randy Logan is a scrap metal trader.  He has 11 years experience trading scrap metals.  His daily focus is on trading.  Both Mike and Randy determine trade pricing on a daily basis.  They are the only employees that trade.  Ruth Zarren-Koch is an Administrative Assistant and is responsible for general administrative duties as well as deal capture into the trading systems, transportation arrangements for physical deliveries and contract administration.  Ruth also monitors A/R and A/P balances and assists the NY office with proper cash application to counterparty accounts.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Heading1"/>
        <w:ind w:hanging="0" w:start="0"/>
        <w:rPr/>
      </w:pPr>
      <w:r>
        <w:rPr/>
        <w:t>Process Overview</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BodyText"/>
        <w:rPr/>
      </w:pPr>
      <w:r>
        <w:rPr/>
        <w:t xml:space="preserve">Trades are executed over the phone by Mike or Randy.  Deal prices are determined by the traders.  The phone lines are not recorded.  They complete a deal sheet, which is then forwarded to Ruth for data entry.  All deals are entered into the system on the same day they are executed.  No deals are executed with new counterparties without obtaining credit approval from the NY office. New customers complete a credit application.   All credit decisions are made in NY, usually by Helga Morell.  A credit limit decision is made and communicated to the St. Louis office.  Ruth manually assigns a contract number to the deal, then enters the deal information into the MS Access system and to the AS400 system.  Currently, there is a duplication of efforts by entering the deal into 2 separate systems.  This is done due to the on-going implementation of the AS400 system.  The invoicing functionality of the AS400 system is not yet up to the company’s standards, therefore, invoices used to send to counterparties are still generated by the MS Access system.  The system generates either a Purchase Contract or a Sales Contract, which details all the terms of the deal.  The contracts are reviewed by the trader and then signed by the trader.  The signed contract is then faxed to the counterparty.  A copy of all contracts is faxed to the NY office.  The division does not require the counterparty to sign the contract and return a signed copy.  It is assumed that the contract is accepted unless the counterparty contacts MG.  At the end of the trading day, a summary of all trading activity (positions only) is completed in Excel and forwarded to the NY office.  </w:t>
      </w:r>
    </w:p>
    <w:p>
      <w:pPr>
        <w:pStyle w:val="BodyText"/>
        <w:rPr/>
      </w:pPr>
      <w:r>
        <w:rPr/>
      </w:r>
    </w:p>
    <w:p>
      <w:pPr>
        <w:pStyle w:val="BodyText"/>
        <w:rPr/>
      </w:pPr>
      <w:r>
        <w:rPr/>
        <w:t xml:space="preserve">All transportation is arranged by the St. Louis office.  Transport bids are obtained from freight/trucking companies and are kept on file.  Generally, the transport contract is done with the lowest bidder.  </w:t>
      </w:r>
    </w:p>
    <w:p>
      <w:pPr>
        <w:pStyle w:val="BodyText"/>
        <w:rPr/>
      </w:pPr>
      <w:r>
        <w:rPr/>
      </w:r>
    </w:p>
    <w:p>
      <w:pPr>
        <w:pStyle w:val="BodyText"/>
        <w:rPr/>
      </w:pPr>
      <w:r>
        <w:rPr/>
        <w:t xml:space="preserve">Invoices are generated in St. Louis and forwarded to the counterparty.  No payments are made in St. Louis.  This office has no bank accounts and does not keep a petty cash fund.  </w:t>
      </w:r>
    </w:p>
    <w:p>
      <w:pPr>
        <w:pStyle w:val="BodyText"/>
        <w:rPr/>
      </w:pPr>
      <w:r>
        <w:rPr/>
      </w:r>
    </w:p>
    <w:p>
      <w:pPr>
        <w:pStyle w:val="BodyText"/>
        <w:rPr/>
      </w:pPr>
      <w:r>
        <w:rPr/>
        <w:t>The following activities are performed exclusively in NY</w:t>
      </w:r>
    </w:p>
    <w:p>
      <w:pPr>
        <w:pStyle w:val="BodyText"/>
        <w:rPr/>
      </w:pPr>
      <w:r>
        <w:rPr/>
      </w:r>
    </w:p>
    <w:p>
      <w:pPr>
        <w:pStyle w:val="BodyText"/>
        <w:numPr>
          <w:ilvl w:val="0"/>
          <w:numId w:val="2"/>
        </w:numPr>
        <w:rPr/>
      </w:pPr>
      <w:r>
        <w:rPr/>
        <w:t>Credit Review and approval</w:t>
      </w:r>
    </w:p>
    <w:p>
      <w:pPr>
        <w:pStyle w:val="BodyText"/>
        <w:numPr>
          <w:ilvl w:val="0"/>
          <w:numId w:val="2"/>
        </w:numPr>
        <w:rPr/>
      </w:pPr>
      <w:r>
        <w:rPr/>
        <w:t>Settlements</w:t>
      </w:r>
    </w:p>
    <w:p>
      <w:pPr>
        <w:pStyle w:val="BodyText"/>
        <w:numPr>
          <w:ilvl w:val="0"/>
          <w:numId w:val="2"/>
        </w:numPr>
        <w:rPr/>
      </w:pPr>
      <w:r>
        <w:rPr/>
        <w:t>Accounting and Financial Reporting – P&amp;L for St. Louis office generated in NY and forwarded to St. Louis staff monthly</w:t>
      </w:r>
    </w:p>
    <w:p>
      <w:pPr>
        <w:pStyle w:val="BodyText"/>
        <w:numPr>
          <w:ilvl w:val="0"/>
          <w:numId w:val="2"/>
        </w:numPr>
        <w:rPr/>
      </w:pPr>
      <w:r>
        <w:rPr/>
        <w:t>Risk Reporting – at month-end, MTM open positions are forwarded to Lou Colarusso in NY, by commodity</w:t>
      </w:r>
    </w:p>
    <w:p>
      <w:pPr>
        <w:pStyle w:val="BodyText"/>
        <w:numPr>
          <w:ilvl w:val="0"/>
          <w:numId w:val="2"/>
        </w:numPr>
        <w:rPr/>
      </w:pPr>
      <w:r>
        <w:rPr/>
        <w:t>Human Resources and Payroll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An administrative fee is charged to the St. Louis office by the NY office for services provided.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Heading1"/>
        <w:ind w:hanging="0" w:start="0"/>
        <w:rPr/>
      </w:pPr>
      <w:r>
        <w:rPr/>
        <w:t>Systems Summary</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numPr>
          <w:ilvl w:val="0"/>
          <w:numId w:val="6"/>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AS400 – used for deal capture, contracts, pricing letters, invoicing (not fully implemented yet), inventory tracking</w:t>
      </w:r>
    </w:p>
    <w:p>
      <w:pPr>
        <w:pStyle w:val="Normal"/>
        <w:numPr>
          <w:ilvl w:val="0"/>
          <w:numId w:val="6"/>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MS Access – traffic system for shipping, still used for invoicing, inventory</w:t>
      </w:r>
    </w:p>
    <w:p>
      <w:pPr>
        <w:pStyle w:val="Normal"/>
        <w:numPr>
          <w:ilvl w:val="0"/>
          <w:numId w:val="6"/>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MS Excel – used for daily position summary and contract # assignment</w:t>
      </w:r>
    </w:p>
    <w:p>
      <w:pPr>
        <w:pStyle w:val="Normal"/>
        <w:numPr>
          <w:ilvl w:val="0"/>
          <w:numId w:val="6"/>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Lotus Notes – used for all interoffice e-mail and communications</w:t>
      </w:r>
    </w:p>
    <w:p>
      <w:pPr>
        <w:pStyle w:val="Normal"/>
        <w:numPr>
          <w:ilvl w:val="0"/>
          <w:numId w:val="6"/>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Wang – this is the old system which is being phased out.  Some reports still printed from this system.</w:t>
      </w:r>
    </w:p>
    <w:p>
      <w:pPr>
        <w:pStyle w:val="Normal"/>
        <w:numPr>
          <w:ilvl w:val="0"/>
          <w:numId w:val="6"/>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SAP – No input by the St. Louis office except applying payments against invoices and small write-offs (&lt;$500)</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Environment:</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if any, regulatory and sovereign issues affect current operations? Is a license required to operate?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No license is required to operate, they are not regulated by any body.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Has an industry study/profile been completed?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See overview in main report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current generation, transmission, and distribution asset capacity available to support business activities?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NA</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other Enron projects, assets, or other services in the same geographical location?</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No</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This office’s main clients are in the US.   The office is in St. Louis primarily due to this city being a hub of sorts for the scrap metals industry.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Strategy</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the business activity considered wholesale or retail?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Wholesale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Has the office been approved to transact in specific commodities in accordance with the Enron Corp. policies?</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The office is not currently subject to risk policy limits by MG.  As noted above, the office maintains a very minor risk position on a daily basis.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commodities and products are dealt (new/mature, physical/financial, transport)?</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See listing above of main products traded.  This is a mature market with small margins.  Deals are all taken to physical delivery and are hedged with COMEX contracts.  Most transport is via truck with several freight companies.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there an established exchange?  Are most deals hedged executed through an exchange or OTC?</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Yes, COMEX</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 majority of all trading done is physical.  Hedging of these positions is done by NY personnel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All deals done in St. Louis are physical deals based on the COMEX price +/- a premium or discount.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How complex are existing transactions?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Mostly simple purchase and sale deals for short-term periods (3 months or less)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Very few physical, long-term structured deals</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No risk books maintained in the St. Louis office</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Pricing sometimes based on monthly average COMEX price.</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There is no significant optionality in the market – standard physical contracts allow for volumetric delivery variance.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published pricing sources available for physical deals?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Yes, all physical deals are done based on COMEX prices, which are viewed throughout the day online.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number of existing deals? Average commodity price for prior year? Average tenor of a deal?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Approximately 500 deals done so far this year.</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No prior year deals as business began in January 2000.  The current year average price is approximately $0.80/lb and can vary based on the grade.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Tenure is generally short-term (3 months or less).  Very few long-term deals.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How many transactions are done a month?  What is the average volumetric quantity of a transaction?</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0 – 15 deals per day.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Physical deals are typically in 42,000 Lb increments (a truckload)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are the primary contributors to office P&amp;L?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The office receives a monthly P&amp;L from the NY office a few days after the end of each month.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P&amp;L is driven by COMEX spreads for buys and sells as all physical deals are hedged.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limit structure has been developed to govern deal activities?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No formal risk limits have been communicated to this office.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Credit limits are approved and monitored by the NY office.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Owners</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are the reporting responsibilities (affiliate of which MG business)?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See ‘Personnel’ section above.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 VP of the St. Louis office reports to Joe Robertson who is a VP in the NY office.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Who is the primary London/NY contact?</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NY – Joe Robertson for any commercial issues</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NY – Helga Morell for Credit review and approval</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NY – Lou Colarusso for Accounting</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How was the office organized?  By acquisition or steady growth?</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 office was created as a start-up business in January 2000 to expand into the scrap copper trading business.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Management:</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Who is the region’s manager?</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Mike Casey is the VP of the St. Louis office.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 xml:space="preserve">What supporting functions are in St. Louis?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Transportation and Logistics</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Invoicing </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Deal capture</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Contract Administration</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All other functions are in NY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number of authorized trading personnel?</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2 – Although no formal Authorized Traders List is maintained on file, Mike Casey and Randy Logan are authorized to trade scrap copper products.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degree of management judgement involved to supervise business transactions and activities?</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In such a small office, all 3 employees are aware of all deals entered daily.  A daily spreadsheet summarizing all deal activity is forwarded to management in NY.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 reporting and communication lines are informal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quality of supervision (geographic remoteness)?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Office interacts daily with NY via telephone and e-mail.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employee’s profile (key Enron employees vs. local employees, knowledge of local language)?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All local MG employees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compensation structure?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See London/NY info from Robertson &amp; Farmer.</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keepNext w:val="true"/>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Counterparties</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Who are the primary counterparties?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On the sales side, the major counterparties include: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numPr>
          <w:ilvl w:val="0"/>
          <w:numId w:val="4"/>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PMX Industries</w:t>
      </w:r>
    </w:p>
    <w:p>
      <w:pPr>
        <w:pStyle w:val="Normal"/>
        <w:numPr>
          <w:ilvl w:val="0"/>
          <w:numId w:val="4"/>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Cambridge Lee Industries</w:t>
      </w:r>
    </w:p>
    <w:p>
      <w:pPr>
        <w:pStyle w:val="Normal"/>
        <w:numPr>
          <w:ilvl w:val="0"/>
          <w:numId w:val="4"/>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Brush Wellman</w:t>
      </w:r>
    </w:p>
    <w:p>
      <w:pPr>
        <w:pStyle w:val="Normal"/>
        <w:numPr>
          <w:ilvl w:val="0"/>
          <w:numId w:val="4"/>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Mueller Industries</w:t>
      </w:r>
    </w:p>
    <w:p>
      <w:pPr>
        <w:pStyle w:val="Normal"/>
        <w:numPr>
          <w:ilvl w:val="0"/>
          <w:numId w:val="4"/>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International Metals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There are approximately 50 total sales counterparties.  PMX Industries and Mueller Industries are the most significant.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On the purchases side, the major counterparties include: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numPr>
          <w:ilvl w:val="0"/>
          <w:numId w:val="3"/>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Cerro Wire &amp; Cable</w:t>
      </w:r>
    </w:p>
    <w:p>
      <w:pPr>
        <w:pStyle w:val="Normal"/>
        <w:numPr>
          <w:ilvl w:val="0"/>
          <w:numId w:val="3"/>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Solomon Electric</w:t>
      </w:r>
    </w:p>
    <w:p>
      <w:pPr>
        <w:pStyle w:val="Normal"/>
        <w:numPr>
          <w:ilvl w:val="0"/>
          <w:numId w:val="3"/>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Copper Weld</w:t>
      </w:r>
    </w:p>
    <w:p>
      <w:pPr>
        <w:pStyle w:val="Normal"/>
        <w:numPr>
          <w:ilvl w:val="0"/>
          <w:numId w:val="3"/>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Yonack (Scrap Recycler)</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There are approximately 50 total purchases counterparties.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Does one counterparty comprise a significant amount of the office’s business?</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Much of their business is derived from a handful of large scrap copper producers and users.  The single largest counterparty is Cerro Wire &amp; Cable which is the c/p for approximately 25% of the Division’s purchases.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What is the profile of the primary counterparties?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Product purchases are primarily from industry (i.e. wire manufacturers, auto manufacturers, and scrap dealers).  Sales are primarily to domestic brass mills, tube mills and brass ingot manufacturers.  The division has some minor exports to overseas refineries, primarily in Mexico and the Far East.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keepNext w:val="true"/>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Competitors</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Who are the primary competitors?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 competitors and counterparties are the same.  See above for listing of counterparties.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What is the profile of the primary competitors?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See above for counterparties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keepNext w:val="true"/>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t>Business processes</w:t>
      </w:r>
    </w:p>
    <w:p>
      <w:pPr>
        <w:pStyle w:val="Normal"/>
        <w:spacing w:lineRule="atLeast" w:line="240"/>
        <w:rPr>
          <w:rFonts w:ascii="Times New Roman" w:hAnsi="Times New Roman" w:cs="Times New Roman"/>
          <w:b/>
          <w:color w:val="000000"/>
          <w:sz w:val="20"/>
          <w:lang w:eastAsia="en-US"/>
        </w:rPr>
      </w:pPr>
      <w:r>
        <w:rPr>
          <w:rFonts w:cs="Times New Roman" w:ascii="Times New Roman" w:hAnsi="Times New Roman"/>
          <w:b/>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Have Enron Corp. risk mgmt, credit, and other procedures been adopted?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No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there an established limit structure (authorized commercial personnel list, individual transactions, net open position, VAR, sensitivity, loss, etc)?</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Book is kept in NY – see NY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an established structure desk independent from the commercial function?</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No</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is the current credit approval policy for new counterparties?  At what point during deal negotiations is credit involved?</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New counterparties are cleared through NY. </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Credit is involved with new counterparties.   See General section above for description.  Credit in NY and the St. Louis staff monitor compliance with credit limits.  A memorandum is used to compare potential deals to limits prior to entering into transactions.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the commercial employees’ telephones taped?</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No, but for all deals, contracts with deal terms are generated, reviewed, signed by MG trade and forwarded to counterparties.  Signed reply is not required.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keepNext w:val="true"/>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t>Capture:  Location:  St. Louis</w:t>
      </w:r>
    </w:p>
    <w:p>
      <w:pPr>
        <w:pStyle w:val="Normal"/>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the personnel restricted from performing deals on their own account?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Although not in writing, the VP stated that informally the traders are not permitted to transact on their own account.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the deal tickets/sheets automated?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No – done manually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broker accounts confirmed daily?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NA</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a comparison between deal sheets, commercial system, and confirmations performed?</w:t>
      </w:r>
    </w:p>
    <w:p>
      <w:pPr>
        <w:pStyle w:val="Normal"/>
        <w:numPr>
          <w:ilvl w:val="0"/>
          <w:numId w:val="7"/>
        </w:numPr>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 xml:space="preserve">Reconciliations are performed manually.  Contract quantities reviewed by trader before signing contract (contract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ab/>
        <w:t>quantities are system-generated based on deal capture)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a volumetric reconciliation performed?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Volumes are manually checked from deal sheet to system-generated contract.</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What type of confirmation and/or contract is done with the counterparty/broker?</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All 3rd party trades have a contract. The contract is kept in St. Louis with copies sent to NY.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Do commercial personnel validate their deals daily into a blotter?</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Validation is performed via review of contract which is system-generated based on deal capture.</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keepNext w:val="true"/>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t>Logistics/deal settlements – St. Louis</w:t>
      </w:r>
    </w:p>
    <w:p>
      <w:pPr>
        <w:pStyle w:val="Normal"/>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bank accounts reconciled timely and independent of the front office functions?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Handled in NY.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brokerage accounts independently established and reconciled on a timely basis?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NA for St. Louis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settlement instructions established and modified independent of commercial personnel?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Settlements handled in NY.</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i/>
          <w:color w:val="000000"/>
          <w:sz w:val="20"/>
          <w:lang w:eastAsia="en-US"/>
        </w:rPr>
        <w:t>Is there an established customer account discrepancy resolution and reconciliation process?</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There is no formal process for customer account discrepancy resolution and reconciliation.  Small discrepancies are written off (&lt;$500)</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an accurate AR aging maintained and regularly monitored?</w:t>
      </w:r>
    </w:p>
    <w:p>
      <w:pPr>
        <w:pStyle w:val="Normal"/>
        <w:spacing w:lineRule="atLeast" w:line="240"/>
        <w:ind w:hanging="540" w:start="540" w:end="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Handled by NY, however, St. Louis can access the reports and review them to assist in collection or discrepancy resolution efforts.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there proper segregation of duties for invoicing, collecting, and recording of purchase, sale, and transportation transactions?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Remote nature of office means that co-located functions is not ideal.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Is the scheduling of physical commodity movement performed independent of the commercial function?</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Remote nature of office means that co-located functions is not ideal.</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 xml:space="preserve">How is volumetric data captured and reconciled (e.g. operational analysis)?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 xml:space="preserve">Data is entered from deal sheet to system.  Small differences in delivery volumes are generally written off. </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quantity adjustments and intercompany transactions regularly monitored and reconciled?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NA</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Are commodity physical positions maintained in storage facilities?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w:t>
        <w:tab/>
        <w:t>Any inventory is kept at dealer location, no other storage facilities used.</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keepNext w:val="true"/>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t>Liquidity analysis/Financial controls</w:t>
      </w:r>
    </w:p>
    <w:p>
      <w:pPr>
        <w:pStyle w:val="Normal"/>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t>Nothing is done in St. Louis.  See NY analysis.</w:t>
      </w:r>
    </w:p>
    <w:p>
      <w:pPr>
        <w:pStyle w:val="Normal"/>
        <w:spacing w:lineRule="atLeast" w:line="240"/>
        <w:rPr>
          <w:rFonts w:ascii="Times New Roman" w:hAnsi="Times New Roman" w:cs="Times New Roman"/>
          <w:color w:val="000000"/>
          <w:sz w:val="20"/>
          <w:lang w:eastAsia="en-US"/>
        </w:rPr>
      </w:pPr>
      <w:r>
        <w:rPr>
          <w:rFonts w:cs="Times New Roman" w:ascii="Times New Roman" w:hAnsi="Times New Roman"/>
          <w:color w:val="000000"/>
          <w:sz w:val="20"/>
          <w:lang w:eastAsia="en-US"/>
        </w:rPr>
      </w:r>
    </w:p>
    <w:p>
      <w:pPr>
        <w:pStyle w:val="Normal"/>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t>Cash management/Treasury</w:t>
      </w:r>
    </w:p>
    <w:p>
      <w:pPr>
        <w:pStyle w:val="Normal"/>
        <w:spacing w:lineRule="atLeast" w:line="240"/>
        <w:rPr>
          <w:rFonts w:ascii="Times New Roman" w:hAnsi="Times New Roman" w:cs="Times New Roman"/>
          <w:i/>
          <w:i/>
          <w:color w:val="000000"/>
          <w:sz w:val="20"/>
          <w:u w:val="single"/>
          <w:lang w:eastAsia="en-US"/>
        </w:rPr>
      </w:pPr>
      <w:r>
        <w:rPr>
          <w:rFonts w:cs="Times New Roman" w:ascii="Times New Roman" w:hAnsi="Times New Roman"/>
          <w:i/>
          <w:color w:val="000000"/>
          <w:sz w:val="20"/>
          <w:u w:val="single"/>
          <w:lang w:eastAsia="en-US"/>
        </w:rPr>
      </w:r>
    </w:p>
    <w:p>
      <w:pPr>
        <w:pStyle w:val="BodyText"/>
        <w:rPr/>
      </w:pPr>
      <w:r>
        <w:rPr/>
        <w:t>All handled in NY office.</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Department"/>
        <w:widowControl/>
        <w:tabs>
          <w:tab w:val="left" w:pos="9810" w:leader="none"/>
        </w:tabs>
        <w:ind w:start="86" w:end="540"/>
        <w:jc w:val="both"/>
        <w:rPr>
          <w:rFonts w:ascii="Times New Roman" w:hAnsi="Times New Roman" w:cs="Times New Roman"/>
          <w:color w:val="000000"/>
          <w:sz w:val="20"/>
          <w:lang w:eastAsia="en-US"/>
        </w:rPr>
      </w:pPr>
      <w:r>
        <w:rPr>
          <w:rFonts w:cs="Times New Roman" w:ascii="Times New Roman" w:hAnsi="Times New Roman"/>
          <w:color w:val="000000"/>
          <w:sz w:val="20"/>
          <w:lang w:eastAsia="en-US"/>
        </w:rPr>
      </w:r>
    </w:p>
    <w:sectPr>
      <w:headerReference w:type="default" r:id="rId3"/>
      <w:headerReference w:type="first" r:id="rId4"/>
      <w:footerReference w:type="default" r:id="rId5"/>
      <w:footerReference w:type="first" r:id="rId6"/>
      <w:type w:val="nextPage"/>
      <w:pgSz w:w="12240" w:h="15840"/>
      <w:pgMar w:left="720" w:right="117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2658110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209.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540"/>
        </w:tabs>
        <w:ind w:start="540" w:hanging="540"/>
      </w:pPr>
      <w:rPr>
        <w:rFonts w:ascii="Liberation Serif" w:hAnsi="Liberation Serif" w:cs="Liberation Serif" w:hint="default"/>
      </w:rPr>
    </w:lvl>
  </w:abstractNum>
  <w:abstractNum w:abstractNumId="4">
    <w:lvl w:ilvl="0">
      <w:numFmt w:val="bullet"/>
      <w:lvlText w:val="-"/>
      <w:lvlJc w:val="start"/>
      <w:pPr>
        <w:tabs>
          <w:tab w:val="num" w:pos="540"/>
        </w:tabs>
        <w:ind w:start="540" w:hanging="54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540"/>
        </w:tabs>
        <w:ind w:start="540" w:hanging="54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Times New Roman" w:hAnsi="Times New Roman" w:cs="Times New Roman"/>
      <w:b/>
      <w:color w:val="000000"/>
      <w:sz w:val="20"/>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Wingdings" w:hAnsi="Wingdings" w:cs="Wingdings"/>
      <w:sz w:val="20"/>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20"/>
    </w:rPr>
  </w:style>
  <w:style w:type="character" w:styleId="WW8Num18z0">
    <w:name w:val="WW8Num18z0"/>
    <w:qFormat/>
    <w:rPr>
      <w:rFonts w:ascii="Symbol" w:hAnsi="Symbol" w:cs="Symbol"/>
    </w:rPr>
  </w:style>
  <w:style w:type="character" w:styleId="WW8Num19z0">
    <w:name w:val="WW8Num19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rFonts w:ascii="Times New Roman" w:hAnsi="Times New Roman" w:cs="Times New Roman"/>
      <w:color w:val="000000"/>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2000-07-24T11:48:00Z</dcterms:created>
  <dc:creator>ECT</dc:creator>
  <dc:description/>
  <dc:language>en-CA</dc:language>
  <cp:lastModifiedBy>mmoscos</cp:lastModifiedBy>
  <cp:lastPrinted>2000-07-24T14:09:00Z</cp:lastPrinted>
  <dcterms:modified xsi:type="dcterms:W3CDTF">2000-07-24T18:42:00Z</dcterms:modified>
  <cp:revision>26</cp:revision>
  <dc:subject/>
  <dc:title>Eron Capital &amp; Trade Resources Memo</dc:title>
</cp:coreProperties>
</file>