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448"/>
        <w:gridCol w:w="3330"/>
        <w:gridCol w:w="3690"/>
      </w:tblGrid>
      <w:tr>
        <w:trPr/>
        <w:tc>
          <w:tcPr>
            <w:tcW w:w="2448" w:type="dxa"/>
            <w:tcBorders/>
          </w:tcPr>
          <w:p>
            <w:pPr>
              <w:pStyle w:val="Normal"/>
              <w:spacing w:before="20" w:after="0"/>
              <w:rPr>
                <w:sz w:val="22"/>
              </w:rPr>
            </w:pPr>
            <w:r>
              <w:rPr>
                <w:sz w:val="22"/>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95375" cy="1124585"/>
                          </a:xfrm>
                          <a:prstGeom prst="rect">
                            <a:avLst/>
                          </a:prstGeom>
                          <a:noFill/>
                        </pic:spPr>
                      </pic:pic>
                    </a:graphicData>
                  </a:graphic>
                </wp:inline>
              </w:drawing>
            </w:r>
          </w:p>
        </w:tc>
        <w:tc>
          <w:tcPr>
            <w:tcW w:w="3330" w:type="dxa"/>
            <w:tcBorders/>
          </w:tcPr>
          <w:p>
            <w:pPr>
              <w:pStyle w:val="Normal"/>
              <w:snapToGrid w:val="false"/>
              <w:jc w:val="both"/>
              <w:rPr>
                <w:b/>
                <w:sz w:val="22"/>
              </w:rPr>
            </w:pPr>
            <w:r>
              <w:rPr>
                <w:b/>
                <w:sz w:val="22"/>
              </w:rPr>
            </w:r>
          </w:p>
        </w:tc>
        <w:tc>
          <w:tcPr>
            <w:tcW w:w="3690" w:type="dxa"/>
            <w:tcBorders/>
          </w:tcPr>
          <w:p>
            <w:pPr>
              <w:pStyle w:val="Heading4"/>
              <w:snapToGrid w:val="false"/>
              <w:spacing w:before="120" w:after="0"/>
              <w:ind w:hanging="0" w:start="0"/>
              <w:jc w:val="start"/>
              <w:rPr>
                <w:b/>
                <w:sz w:val="22"/>
              </w:rPr>
            </w:pPr>
            <w:r>
              <w:rPr>
                <w:b/>
                <w:sz w:val="22"/>
              </w:rPr>
            </w:r>
          </w:p>
          <w:p>
            <w:pPr>
              <w:pStyle w:val="Heading4"/>
              <w:spacing w:before="120" w:after="0"/>
              <w:ind w:hanging="0" w:start="0"/>
              <w:jc w:val="start"/>
              <w:rPr>
                <w:sz w:val="22"/>
              </w:rPr>
            </w:pPr>
            <w:r>
              <w:rPr>
                <w:sz w:val="22"/>
              </w:rPr>
              <w:t>CONFIDENTIAL</w:t>
            </w:r>
          </w:p>
          <w:p>
            <w:pPr>
              <w:pStyle w:val="Normal"/>
              <w:rPr>
                <w:b/>
                <w:sz w:val="22"/>
              </w:rPr>
            </w:pPr>
            <w:r>
              <w:rPr>
                <w:b/>
                <w:sz w:val="22"/>
              </w:rPr>
              <w:t>ATTORNEY – CLIENT</w:t>
            </w:r>
          </w:p>
          <w:p>
            <w:pPr>
              <w:pStyle w:val="Normal"/>
              <w:rPr>
                <w:b/>
                <w:sz w:val="22"/>
              </w:rPr>
            </w:pPr>
            <w:r>
              <w:rPr>
                <w:b/>
                <w:sz w:val="22"/>
              </w:rPr>
              <w:t>PRIVILEGED</w:t>
            </w:r>
          </w:p>
          <w:p>
            <w:pPr>
              <w:pStyle w:val="Normal"/>
              <w:jc w:val="both"/>
              <w:rPr>
                <w:b/>
                <w:sz w:val="22"/>
              </w:rPr>
            </w:pPr>
            <w:r>
              <w:rPr>
                <w:b/>
                <w:sz w:val="22"/>
              </w:rPr>
              <w:t>COMMUNICATION</w:t>
            </w:r>
          </w:p>
        </w:tc>
      </w:tr>
      <w:tr>
        <w:trPr/>
        <w:tc>
          <w:tcPr>
            <w:tcW w:w="2448" w:type="dxa"/>
            <w:tcBorders/>
          </w:tcPr>
          <w:p>
            <w:pPr>
              <w:pStyle w:val="Normal"/>
              <w:snapToGrid w:val="false"/>
              <w:jc w:val="both"/>
              <w:rPr>
                <w:b/>
                <w:sz w:val="22"/>
              </w:rPr>
            </w:pPr>
            <w:r>
              <w:rPr>
                <w:b/>
                <w:sz w:val="22"/>
              </w:rPr>
            </w:r>
          </w:p>
        </w:tc>
        <w:tc>
          <w:tcPr>
            <w:tcW w:w="3330" w:type="dxa"/>
            <w:tcBorders/>
          </w:tcPr>
          <w:p>
            <w:pPr>
              <w:pStyle w:val="Normal"/>
              <w:snapToGrid w:val="false"/>
              <w:jc w:val="both"/>
              <w:rPr>
                <w:b/>
                <w:sz w:val="22"/>
              </w:rPr>
            </w:pPr>
            <w:r>
              <w:rPr>
                <w:b/>
                <w:sz w:val="22"/>
              </w:rPr>
            </w:r>
          </w:p>
        </w:tc>
        <w:tc>
          <w:tcPr>
            <w:tcW w:w="3690" w:type="dxa"/>
            <w:tcBorders/>
          </w:tcPr>
          <w:p>
            <w:pPr>
              <w:pStyle w:val="Normal"/>
              <w:snapToGrid w:val="false"/>
              <w:jc w:val="both"/>
              <w:rPr>
                <w:b/>
                <w:sz w:val="22"/>
              </w:rPr>
            </w:pPr>
            <w:r>
              <w:rPr>
                <w:b/>
                <w:sz w:val="22"/>
              </w:rPr>
            </w:r>
          </w:p>
        </w:tc>
      </w:tr>
    </w:tbl>
    <w:p>
      <w:pPr>
        <w:pStyle w:val="Normal"/>
        <w:pBdr>
          <w:top w:val="double" w:sz="12" w:space="1" w:color="000000"/>
        </w:pBdr>
        <w:rPr>
          <w:sz w:val="22"/>
        </w:rPr>
      </w:pPr>
      <w:r>
        <w:rPr>
          <w:sz w:val="22"/>
        </w:rPr>
      </w:r>
    </w:p>
    <w:tbl>
      <w:tblPr>
        <w:tblW w:w="9090" w:type="dxa"/>
        <w:jc w:val="start"/>
        <w:tblInd w:w="0" w:type="dxa"/>
        <w:tblLayout w:type="fixed"/>
        <w:tblCellMar>
          <w:top w:w="0" w:type="dxa"/>
          <w:start w:w="108" w:type="dxa"/>
          <w:bottom w:w="0" w:type="dxa"/>
          <w:end w:w="108" w:type="dxa"/>
        </w:tblCellMar>
      </w:tblPr>
      <w:tblGrid>
        <w:gridCol w:w="1908"/>
        <w:gridCol w:w="2520"/>
        <w:gridCol w:w="270"/>
        <w:gridCol w:w="1746"/>
        <w:gridCol w:w="126"/>
        <w:gridCol w:w="1728"/>
        <w:gridCol w:w="666"/>
        <w:gridCol w:w="126"/>
      </w:tblGrid>
      <w:tr>
        <w:trPr/>
        <w:tc>
          <w:tcPr>
            <w:tcW w:w="1908" w:type="dxa"/>
            <w:tcBorders/>
          </w:tcPr>
          <w:p>
            <w:pPr>
              <w:pStyle w:val="Normal"/>
              <w:spacing w:before="0" w:after="120"/>
              <w:jc w:val="both"/>
              <w:rPr>
                <w:sz w:val="22"/>
              </w:rPr>
            </w:pPr>
            <w:r>
              <w:rPr>
                <w:b/>
                <w:sz w:val="22"/>
              </w:rPr>
              <w:t>TO:</w:t>
            </w:r>
          </w:p>
        </w:tc>
        <w:tc>
          <w:tcPr>
            <w:tcW w:w="2790" w:type="dxa"/>
            <w:gridSpan w:val="2"/>
            <w:tcBorders/>
          </w:tcPr>
          <w:p>
            <w:pPr>
              <w:pStyle w:val="Normal"/>
              <w:jc w:val="both"/>
              <w:rPr>
                <w:sz w:val="22"/>
              </w:rPr>
            </w:pPr>
            <w:r>
              <w:rPr>
                <w:sz w:val="22"/>
              </w:rPr>
              <w:t>Distribution</w:t>
            </w:r>
          </w:p>
        </w:tc>
        <w:tc>
          <w:tcPr>
            <w:tcW w:w="1872" w:type="dxa"/>
            <w:gridSpan w:val="2"/>
            <w:tcBorders/>
          </w:tcPr>
          <w:p>
            <w:pPr>
              <w:pStyle w:val="Normal"/>
              <w:spacing w:before="0" w:after="120"/>
              <w:jc w:val="both"/>
              <w:rPr>
                <w:sz w:val="22"/>
              </w:rPr>
            </w:pPr>
            <w:r>
              <w:rPr>
                <w:b/>
                <w:sz w:val="22"/>
              </w:rPr>
              <w:tab/>
              <w:t>DATE:</w:t>
            </w:r>
          </w:p>
        </w:tc>
        <w:tc>
          <w:tcPr>
            <w:tcW w:w="2520" w:type="dxa"/>
            <w:gridSpan w:val="3"/>
            <w:tcBorders/>
          </w:tcPr>
          <w:p>
            <w:pPr>
              <w:pStyle w:val="Normal"/>
              <w:spacing w:before="0" w:after="120"/>
              <w:jc w:val="both"/>
              <w:rPr>
                <w:sz w:val="22"/>
              </w:rPr>
            </w:pPr>
            <w:r>
              <w:rPr>
                <w:sz w:val="22"/>
              </w:rPr>
              <w:t>December 7, 2000</w:t>
            </w:r>
          </w:p>
        </w:tc>
      </w:tr>
      <w:tr>
        <w:trPr/>
        <w:tc>
          <w:tcPr>
            <w:tcW w:w="1908" w:type="dxa"/>
            <w:tcBorders/>
          </w:tcPr>
          <w:p>
            <w:pPr>
              <w:pStyle w:val="Normal"/>
              <w:spacing w:before="120" w:after="240"/>
              <w:jc w:val="both"/>
              <w:rPr>
                <w:sz w:val="22"/>
              </w:rPr>
            </w:pPr>
            <w:r>
              <w:rPr>
                <w:b/>
                <w:sz w:val="22"/>
              </w:rPr>
              <w:t>FROM:</w:t>
            </w:r>
          </w:p>
        </w:tc>
        <w:tc>
          <w:tcPr>
            <w:tcW w:w="2520" w:type="dxa"/>
            <w:tcBorders/>
          </w:tcPr>
          <w:p>
            <w:pPr>
              <w:pStyle w:val="Normal"/>
              <w:spacing w:before="120" w:after="240"/>
              <w:jc w:val="both"/>
              <w:rPr>
                <w:sz w:val="22"/>
              </w:rPr>
            </w:pPr>
            <w:r>
              <w:rPr>
                <w:sz w:val="22"/>
              </w:rPr>
              <w:t>Teresa Gear Bushman</w:t>
            </w:r>
          </w:p>
        </w:tc>
        <w:tc>
          <w:tcPr>
            <w:tcW w:w="2016" w:type="dxa"/>
            <w:gridSpan w:val="2"/>
            <w:tcBorders/>
          </w:tcPr>
          <w:p>
            <w:pPr>
              <w:pStyle w:val="Normal"/>
              <w:spacing w:before="120" w:after="240"/>
              <w:jc w:val="both"/>
              <w:rPr>
                <w:b/>
                <w:sz w:val="22"/>
              </w:rPr>
            </w:pPr>
            <w:r>
              <w:rPr>
                <w:b/>
                <w:sz w:val="22"/>
              </w:rPr>
              <w:t>DEPARTMENT:</w:t>
            </w:r>
          </w:p>
        </w:tc>
        <w:tc>
          <w:tcPr>
            <w:tcW w:w="2520" w:type="dxa"/>
            <w:gridSpan w:val="3"/>
            <w:tcBorders/>
          </w:tcPr>
          <w:p>
            <w:pPr>
              <w:pStyle w:val="Normal"/>
              <w:spacing w:before="120" w:after="240"/>
              <w:jc w:val="both"/>
              <w:rPr>
                <w:sz w:val="22"/>
              </w:rPr>
            </w:pPr>
            <w:r>
              <w:rPr>
                <w:sz w:val="22"/>
              </w:rPr>
              <w:t>Legal Department</w:t>
            </w:r>
          </w:p>
        </w:tc>
        <w:tc>
          <w:tcPr>
            <w:tcW w:w="126" w:type="dxa"/>
            <w:tcBorders/>
            <w:tcMar>
              <w:start w:w="0" w:type="dxa"/>
              <w:end w:w="0" w:type="dxa"/>
            </w:tcMar>
          </w:tcPr>
          <w:p>
            <w:pPr>
              <w:pStyle w:val="Normal"/>
              <w:snapToGrid w:val="false"/>
              <w:rPr>
                <w:sz w:val="22"/>
              </w:rPr>
            </w:pPr>
            <w:r>
              <w:rPr>
                <w:sz w:val="22"/>
              </w:rPr>
            </w:r>
          </w:p>
        </w:tc>
      </w:tr>
      <w:tr>
        <w:trPr/>
        <w:tc>
          <w:tcPr>
            <w:tcW w:w="1908" w:type="dxa"/>
            <w:tcBorders/>
          </w:tcPr>
          <w:p>
            <w:pPr>
              <w:pStyle w:val="Normal"/>
              <w:jc w:val="both"/>
              <w:rPr>
                <w:sz w:val="22"/>
              </w:rPr>
            </w:pPr>
            <w:r>
              <w:rPr>
                <w:b/>
                <w:sz w:val="22"/>
              </w:rPr>
              <w:t>SUBJECT:</w:t>
            </w:r>
          </w:p>
        </w:tc>
        <w:tc>
          <w:tcPr>
            <w:tcW w:w="6390" w:type="dxa"/>
            <w:gridSpan w:val="5"/>
            <w:tcBorders/>
          </w:tcPr>
          <w:p>
            <w:pPr>
              <w:pStyle w:val="Header"/>
              <w:tabs>
                <w:tab w:val="clear" w:pos="4320"/>
                <w:tab w:val="clear" w:pos="8640"/>
              </w:tabs>
              <w:rPr>
                <w:sz w:val="22"/>
              </w:rPr>
            </w:pPr>
            <w:r>
              <w:rPr>
                <w:sz w:val="22"/>
              </w:rPr>
              <w:t>Investment in and Purchase of Volumetric Production Payment from St. Mary’s Production, LLC—Legal Risk Rating:  1.5</w:t>
            </w:r>
          </w:p>
        </w:tc>
        <w:tc>
          <w:tcPr>
            <w:tcW w:w="792" w:type="dxa"/>
            <w:gridSpan w:val="2"/>
            <w:tcBorders/>
            <w:tcMar>
              <w:start w:w="0" w:type="dxa"/>
              <w:end w:w="0" w:type="dxa"/>
            </w:tcMar>
          </w:tcPr>
          <w:p>
            <w:pPr>
              <w:pStyle w:val="Normal"/>
              <w:snapToGrid w:val="false"/>
              <w:rPr>
                <w:sz w:val="22"/>
              </w:rPr>
            </w:pPr>
            <w:r>
              <w:rPr>
                <w:sz w:val="22"/>
              </w:rPr>
            </w:r>
          </w:p>
        </w:tc>
      </w:tr>
    </w:tbl>
    <w:p>
      <w:pPr>
        <w:pStyle w:val="Normal"/>
        <w:pBdr>
          <w:bottom w:val="double" w:sz="12" w:space="1" w:color="000000"/>
        </w:pBdr>
        <w:rPr>
          <w:sz w:val="22"/>
        </w:rPr>
      </w:pPr>
      <w:r>
        <w:rPr>
          <w:sz w:val="22"/>
        </w:rPr>
      </w:r>
    </w:p>
    <w:p>
      <w:pPr>
        <w:pStyle w:val="Normal"/>
        <w:rPr>
          <w:sz w:val="22"/>
        </w:rPr>
      </w:pPr>
      <w:r>
        <w:rPr>
          <w:sz w:val="22"/>
        </w:rPr>
      </w:r>
    </w:p>
    <w:p>
      <w:pPr>
        <w:pStyle w:val="spacer"/>
        <w:rPr>
          <w:sz w:val="22"/>
        </w:rPr>
      </w:pPr>
      <w:r>
        <w:rPr>
          <w:sz w:val="22"/>
        </w:rPr>
      </w:r>
    </w:p>
    <w:p>
      <w:pPr>
        <w:pStyle w:val="BodyTextFirstIndent"/>
        <w:ind w:hanging="0" w:end="0"/>
        <w:rPr>
          <w:sz w:val="22"/>
        </w:rPr>
      </w:pPr>
      <w:bookmarkStart w:id="0" w:name="StartHere"/>
      <w:bookmarkStart w:id="1" w:name="SUBJECT"/>
      <w:bookmarkEnd w:id="0"/>
      <w:bookmarkEnd w:id="1"/>
      <w:r>
        <w:rPr>
          <w:sz w:val="22"/>
        </w:rPr>
        <w:t>ECT Merchant Investments Corp. (“EMIC”) is making an equity investment of approximately $570,000 in a newly formed limited liability company, St. Mary’s Production, LLC (the “Company”), and purchasing a $44.8MM volumetric production payment from the Company.</w:t>
      </w:r>
    </w:p>
    <w:p>
      <w:pPr>
        <w:pStyle w:val="BodyTextFirstIndent"/>
        <w:ind w:hanging="0" w:end="0"/>
        <w:rPr>
          <w:sz w:val="22"/>
        </w:rPr>
      </w:pPr>
      <w:r>
        <w:rPr>
          <w:sz w:val="22"/>
        </w:rPr>
        <w:t xml:space="preserve">The Company is an affiliate of Preston Exploration Company, L.P.  William Preston and Arthur Preston will each own a 47.5% membership interest and will serve as managers of the Company.  EMIC will own a 5% membership interest.  The equity investment is being made to accommodate a related party sale by Preston Exploration and a like-kind exchange transaction that provide significant tax benefits to the Prestons.  After January 1, 2003, the Prestons will have the right to acquire EMIC’s membership interest for $780,000, providing a 17% rate of return on EMIC’s capital contribution.  After June 30, 2003, EMIC will have the right to put its membership interest to the Prestons for its fair market value but not less than $455,000. </w:t>
      </w:r>
    </w:p>
    <w:p>
      <w:pPr>
        <w:pStyle w:val="BodyTextFirstIndent"/>
        <w:ind w:hanging="0" w:end="0"/>
        <w:rPr>
          <w:sz w:val="22"/>
        </w:rPr>
      </w:pPr>
      <w:r>
        <w:rPr>
          <w:sz w:val="22"/>
        </w:rPr>
        <w:t>The Company will use proceeds from the sale of the VPP and approximately $11.4MM in capital contributions to acquire oil and gas properties in the Northwest Myette Point field in St. Mary and St. Martin Parishes, Louisiana, from which the VPP will be conveyed.  The VPP provides for delivery of specified volumes of gas and oil over a 31-month term.  Hunt Oil Company operates the properties subject to the VPP.  Each of the Prestons is providing a $1MM guaranty of certain obligations of the Company under the Production and Delivery Agreement relating to making capital expenditures required to maintain production.</w:t>
      </w:r>
    </w:p>
    <w:p>
      <w:pPr>
        <w:pStyle w:val="BodyTextFirstIndent"/>
        <w:ind w:hanging="0" w:end="0"/>
        <w:rPr>
          <w:sz w:val="22"/>
        </w:rPr>
      </w:pPr>
      <w:r>
        <w:rPr>
          <w:sz w:val="22"/>
        </w:rPr>
        <w:t>We obtained title opinions from Liskow &amp; Lewis covering the properties.  No significant title defects were noted.</w:t>
      </w:r>
    </w:p>
    <w:p>
      <w:pPr>
        <w:pStyle w:val="BodyTextFirstIndent"/>
        <w:ind w:hanging="0" w:end="0"/>
        <w:rPr>
          <w:sz w:val="22"/>
        </w:rPr>
      </w:pPr>
      <w:r>
        <w:rPr>
          <w:sz w:val="22"/>
        </w:rPr>
        <w:t>Pilko &amp; Associates performed an environmental review.  They reported that the properties and equipment were well maintained, and no significant environmental issues were noted.  The properties do contain some naturally occurring radioactive materials (NORM).  Pilko reported that Hunt, the operator, does not have any current plan to clean the affected equipment until it is removed from service.  They do not expect the cleanup to be difficult, and the estimated cost at the present time for the cleanup is $100,000.</w:t>
      </w:r>
    </w:p>
    <w:p>
      <w:pPr>
        <w:pStyle w:val="BodyTextFirstIndent"/>
        <w:ind w:hanging="0" w:end="0"/>
        <w:rPr>
          <w:sz w:val="22"/>
        </w:rPr>
      </w:pPr>
      <w:r>
        <w:rPr>
          <w:sz w:val="22"/>
        </w:rPr>
        <w:t>Gordon Arata opined that the VPP should constitute a “production payment” under Section 541 of the Bankruptcy Code and a real right under Louisiana law.  Baker Botts provided the corporate and enforceability opinions.</w:t>
      </w:r>
    </w:p>
    <w:p>
      <w:pPr>
        <w:pStyle w:val="Normal"/>
        <w:rPr>
          <w:sz w:val="22"/>
        </w:rPr>
      </w:pPr>
      <w:r>
        <w:rPr>
          <w:sz w:val="22"/>
        </w:rPr>
      </w:r>
    </w:p>
    <w:p>
      <w:pPr>
        <w:pStyle w:val="Normal"/>
        <w:rPr>
          <w:sz w:val="22"/>
        </w:rPr>
      </w:pPr>
      <w:r>
        <w:rPr>
          <w:sz w:val="22"/>
        </w:rPr>
      </w:r>
    </w:p>
    <w:p>
      <w:pPr>
        <w:pStyle w:val="Normal"/>
        <w:jc w:val="both"/>
        <w:rPr/>
      </w:pPr>
      <w:r>
        <w:rPr>
          <w:sz w:val="22"/>
          <w:u w:val="single"/>
        </w:rPr>
        <w:t>Distribution</w:t>
      </w:r>
      <w:r>
        <w:rPr>
          <w:sz w:val="22"/>
        </w:rPr>
        <w:t>:</w:t>
      </w:r>
    </w:p>
    <w:p>
      <w:pPr>
        <w:pStyle w:val="Normal"/>
        <w:tabs>
          <w:tab w:val="clear" w:pos="720"/>
          <w:tab w:val="left" w:pos="1800" w:leader="none"/>
        </w:tabs>
        <w:jc w:val="both"/>
        <w:rPr>
          <w:sz w:val="22"/>
        </w:rPr>
      </w:pPr>
      <w:r>
        <w:rPr>
          <w:sz w:val="22"/>
        </w:rPr>
      </w:r>
    </w:p>
    <w:p>
      <w:pPr>
        <w:pStyle w:val="Normal"/>
        <w:tabs>
          <w:tab w:val="clear" w:pos="720"/>
          <w:tab w:val="left" w:pos="1800" w:leader="none"/>
        </w:tabs>
        <w:jc w:val="both"/>
        <w:rPr>
          <w:sz w:val="22"/>
        </w:rPr>
      </w:pPr>
      <w:r>
        <w:rPr>
          <w:sz w:val="22"/>
        </w:rPr>
        <w:t>Jeff Donahue</w:t>
      </w:r>
    </w:p>
    <w:p>
      <w:pPr>
        <w:pStyle w:val="Normal"/>
        <w:tabs>
          <w:tab w:val="clear" w:pos="720"/>
          <w:tab w:val="left" w:pos="1800" w:leader="none"/>
        </w:tabs>
        <w:jc w:val="both"/>
        <w:rPr>
          <w:sz w:val="22"/>
        </w:rPr>
      </w:pPr>
      <w:r>
        <w:rPr>
          <w:sz w:val="22"/>
        </w:rPr>
        <w:t>David Gorte</w:t>
      </w:r>
    </w:p>
    <w:p>
      <w:pPr>
        <w:pStyle w:val="Normal"/>
        <w:tabs>
          <w:tab w:val="clear" w:pos="720"/>
          <w:tab w:val="left" w:pos="1800" w:leader="none"/>
        </w:tabs>
        <w:jc w:val="both"/>
        <w:rPr>
          <w:sz w:val="22"/>
        </w:rPr>
      </w:pPr>
      <w:r>
        <w:rPr>
          <w:sz w:val="22"/>
        </w:rPr>
        <w:t>Mark E. Haedicke</w:t>
      </w:r>
    </w:p>
    <w:p>
      <w:pPr>
        <w:pStyle w:val="Normal"/>
        <w:tabs>
          <w:tab w:val="clear" w:pos="720"/>
          <w:tab w:val="left" w:pos="1800" w:leader="none"/>
        </w:tabs>
        <w:jc w:val="both"/>
        <w:rPr>
          <w:sz w:val="22"/>
        </w:rPr>
      </w:pPr>
      <w:r>
        <w:rPr>
          <w:sz w:val="22"/>
        </w:rPr>
        <w:t>Scott Josey</w:t>
      </w:r>
    </w:p>
    <w:p>
      <w:pPr>
        <w:pStyle w:val="Normal"/>
        <w:tabs>
          <w:tab w:val="clear" w:pos="720"/>
          <w:tab w:val="left" w:pos="1800" w:leader="none"/>
        </w:tabs>
        <w:jc w:val="both"/>
        <w:rPr>
          <w:sz w:val="22"/>
        </w:rPr>
      </w:pPr>
      <w:r>
        <w:rPr>
          <w:sz w:val="22"/>
        </w:rPr>
        <w:t>Travis McCullough</w:t>
      </w:r>
    </w:p>
    <w:p>
      <w:pPr>
        <w:pStyle w:val="Normal"/>
        <w:tabs>
          <w:tab w:val="clear" w:pos="720"/>
          <w:tab w:val="left" w:pos="1800" w:leader="none"/>
        </w:tabs>
        <w:jc w:val="both"/>
        <w:rPr>
          <w:sz w:val="22"/>
        </w:rPr>
      </w:pPr>
      <w:r>
        <w:rPr>
          <w:sz w:val="22"/>
        </w:rPr>
        <w:t>Lance Schuler</w:t>
      </w:r>
    </w:p>
    <w:p>
      <w:pPr>
        <w:pStyle w:val="Normal"/>
        <w:tabs>
          <w:tab w:val="clear" w:pos="720"/>
          <w:tab w:val="left" w:pos="1800" w:leader="none"/>
        </w:tabs>
        <w:jc w:val="both"/>
        <w:rPr>
          <w:sz w:val="22"/>
        </w:rPr>
      </w:pPr>
      <w:r>
        <w:rPr>
          <w:sz w:val="22"/>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NewsGoth BT"/>
    <w:charset w:val="00" w:characterSet="windows-1252"/>
    <w:family w:val="swiss"/>
    <w:pitch w:val="variable"/>
  </w:font>
  <w:font w:name="Liberation Sans">
    <w:altName w:val="Arial"/>
    <w:charset w:val="01" w:characterSet="utf-8"/>
    <w:family w:val="swiss"/>
    <w:pitch w:val="variable"/>
  </w:font>
  <w:font w:name="GoudyTrajanBold">
    <w:altName w:val="Courier New"/>
    <w:charset w:val="00" w:characterSet="windows-1252"/>
    <w:family w:val="auto"/>
    <w:pitch w:val="variable"/>
  </w:font>
  <w:font w:name="GoudyTrajanRegular">
    <w:altName w:val="Courier New"/>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569499.1</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780" w:leader="none"/>
      </w:tabs>
      <w:jc w:val="both"/>
      <w:outlineLvl w:val="0"/>
    </w:pPr>
    <w:rPr>
      <w:sz w:val="24"/>
      <w:u w:val="single"/>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ToFont">
    <w:name w:val="ToFont"/>
    <w:basedOn w:val="DefaultParagraphFont"/>
    <w:qFormat/>
    <w:rPr>
      <w:rFonts w:ascii="EngraversGothic BT;NewsGoth BT" w:hAnsi="EngraversGothic BT;NewsGoth BT" w:cs="EngraversGothic BT;NewsGoth BT"/>
      <w:sz w:val="24"/>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head">
    <w:name w:val="Letterhead"/>
    <w:basedOn w:val="Normal"/>
    <w:qFormat/>
    <w:pPr>
      <w:jc w:val="center"/>
    </w:pPr>
    <w:rPr>
      <w:rFonts w:ascii="GoudyTrajanBold;Courier New" w:hAnsi="GoudyTrajanBold;Courier New" w:cs="GoudyTrajanBold;Courier New"/>
      <w:sz w:val="3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Times New Roman" w:cs="Arial"/>
      <w:color w:val="auto"/>
      <w:sz w:val="20"/>
      <w:szCs w:val="20"/>
      <w:lang w:val="en-US" w:bidi="ar-SA" w:eastAsia="zh-CN"/>
    </w:rPr>
  </w:style>
  <w:style w:type="paragraph" w:styleId="MemoAddress">
    <w:name w:val="MemoAddress"/>
    <w:basedOn w:val="Normal"/>
    <w:qFormat/>
    <w:pPr>
      <w:jc w:val="center"/>
    </w:pPr>
    <w:rPr>
      <w:rFonts w:ascii="GoudyTrajanBold;Courier New" w:hAnsi="GoudyTrajanBold;Courier New" w:cs="GoudyTrajanBold;Courier New"/>
      <w:sz w:val="14"/>
    </w:rPr>
  </w:style>
  <w:style w:type="paragraph" w:styleId="MemoTitle">
    <w:name w:val="MemoTitle"/>
    <w:basedOn w:val="Normal"/>
    <w:qFormat/>
    <w:pPr>
      <w:spacing w:before="0" w:after="240"/>
      <w:jc w:val="center"/>
    </w:pPr>
    <w:rPr>
      <w:rFonts w:ascii="EngraversGothic BT;NewsGoth BT" w:hAnsi="EngraversGothic BT;NewsGoth BT" w:cs="EngraversGothic BT;NewsGoth BT"/>
      <w:sz w:val="30"/>
    </w:rPr>
  </w:style>
  <w:style w:type="paragraph" w:styleId="BodyTextFirstIndent">
    <w:name w:val="Body Text First Indent"/>
    <w:basedOn w:val="BodyText"/>
    <w:qFormat/>
    <w:pPr>
      <w:spacing w:before="0" w:after="240"/>
      <w:ind w:firstLine="720" w:start="0" w:end="0"/>
      <w:jc w:val="both"/>
    </w:pPr>
    <w:rPr/>
  </w:style>
  <w:style w:type="paragraph" w:styleId="spacer">
    <w:name w:val="spacer"/>
    <w:basedOn w:val="BodyTextFirstIndent"/>
    <w:qFormat/>
    <w:pPr>
      <w:spacing w:before="0" w:after="0"/>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moSecondPage">
    <w:name w:val="MemoSecondPage"/>
    <w:basedOn w:val="Header"/>
    <w:qFormat/>
    <w:pPr>
      <w:jc w:val="center"/>
    </w:pPr>
    <w:rPr>
      <w:rFonts w:ascii="GoudyTrajanRegular;Courier New" w:hAnsi="GoudyTrajanRegular;Courier New" w:cs="GoudyTrajanRegular;Courier New"/>
      <w:sz w:val="18"/>
    </w:rPr>
  </w:style>
  <w:style w:type="paragraph" w:styleId="MEMOTOP">
    <w:name w:val="MEMO TOP"/>
    <w:basedOn w:val="Normal"/>
    <w:qFormat/>
    <w:pPr>
      <w:spacing w:before="0" w:after="120"/>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Andrews &amp; Kurth Memo</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2000-12-07T21:59:00Z</dcterms:created>
  <dc:creator>A&amp;K</dc:creator>
  <dc:description/>
  <dc:language>en-CA</dc:language>
  <cp:lastModifiedBy>tbushma</cp:lastModifiedBy>
  <cp:lastPrinted>2000-08-28T15:39:00Z</cp:lastPrinted>
  <dcterms:modified xsi:type="dcterms:W3CDTF">2000-12-07T23:30:00Z</dcterms:modified>
  <cp:revision>5</cp:revision>
  <dc:subject/>
  <dc:title>A&amp;K Memo Form</dc:title>
</cp:coreProperties>
</file>