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Date"/>
        <w:ind w:firstLine="720" w:start="3600" w:end="0"/>
        <w:jc w:val="both"/>
        <w:rPr>
          <w:rFonts w:ascii="Arial" w:hAnsi="Arial" w:cs="Arial"/>
          <w:sz w:val="22"/>
        </w:rPr>
      </w:pPr>
      <w:r>
        <w:rPr>
          <w:rFonts w:cs="Arial" w:ascii="Arial" w:hAnsi="Arial"/>
          <w:sz w:val="22"/>
        </w:rPr>
        <w:t>April 18,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VIA FACSIMILIE (281) 364-4919</w:t>
      </w:r>
    </w:p>
    <w:p>
      <w:pPr>
        <w:pStyle w:val="Normal"/>
        <w:jc w:val="both"/>
        <w:rPr>
          <w:rFonts w:ascii="Arial" w:hAnsi="Arial" w:cs="Arial"/>
          <w:sz w:val="22"/>
        </w:rPr>
      </w:pPr>
      <w:r>
        <w:rPr>
          <w:rFonts w:cs="Arial" w:ascii="Arial" w:hAnsi="Arial"/>
          <w:sz w:val="22"/>
        </w:rPr>
      </w:r>
    </w:p>
    <w:p>
      <w:pPr>
        <w:pStyle w:val="InsideAddressName"/>
        <w:jc w:val="both"/>
        <w:rPr>
          <w:rFonts w:ascii="Arial" w:hAnsi="Arial" w:cs="Arial"/>
          <w:sz w:val="22"/>
        </w:rPr>
      </w:pPr>
      <w:r>
        <w:rPr>
          <w:rFonts w:cs="Arial" w:ascii="Arial" w:hAnsi="Arial"/>
          <w:sz w:val="22"/>
        </w:rPr>
        <w:t>St. Mary’s Production, LLC</w:t>
      </w:r>
    </w:p>
    <w:p>
      <w:pPr>
        <w:pStyle w:val="InsideAddress"/>
        <w:jc w:val="both"/>
        <w:rPr>
          <w:rFonts w:ascii="Arial" w:hAnsi="Arial" w:cs="Arial"/>
          <w:sz w:val="22"/>
        </w:rPr>
      </w:pPr>
      <w:r>
        <w:rPr>
          <w:rFonts w:cs="Arial" w:ascii="Arial" w:hAnsi="Arial"/>
          <w:sz w:val="22"/>
        </w:rPr>
        <w:t>Attn:  Jay Hartman</w:t>
      </w:r>
    </w:p>
    <w:p>
      <w:pPr>
        <w:pStyle w:val="InsideAddress"/>
        <w:jc w:val="both"/>
        <w:rPr>
          <w:rFonts w:ascii="Arial" w:hAnsi="Arial" w:cs="Arial"/>
          <w:sz w:val="22"/>
        </w:rPr>
      </w:pPr>
      <w:r>
        <w:rPr>
          <w:rFonts w:cs="Arial" w:ascii="Arial" w:hAnsi="Arial"/>
          <w:sz w:val="22"/>
        </w:rPr>
        <w:t>1717 Woodstead Court, Suite 207</w:t>
      </w:r>
    </w:p>
    <w:p>
      <w:pPr>
        <w:pStyle w:val="InsideAddress"/>
        <w:jc w:val="both"/>
        <w:rPr>
          <w:rFonts w:ascii="Arial" w:hAnsi="Arial" w:cs="Arial"/>
          <w:sz w:val="22"/>
        </w:rPr>
      </w:pPr>
      <w:r>
        <w:rPr>
          <w:rFonts w:cs="Arial" w:ascii="Arial" w:hAnsi="Arial"/>
          <w:sz w:val="22"/>
        </w:rPr>
        <w:t>The Woodlands, Texas 77380</w:t>
      </w:r>
    </w:p>
    <w:p>
      <w:pPr>
        <w:pStyle w:val="InsideAddress"/>
        <w:jc w:val="both"/>
        <w:rPr>
          <w:rFonts w:ascii="Arial" w:hAnsi="Arial" w:cs="Arial"/>
          <w:sz w:val="22"/>
        </w:rPr>
      </w:pPr>
      <w:r>
        <w:rPr>
          <w:rFonts w:cs="Arial" w:ascii="Arial" w:hAnsi="Arial"/>
          <w:sz w:val="22"/>
        </w:rPr>
      </w:r>
    </w:p>
    <w:p>
      <w:pPr>
        <w:pStyle w:val="ReferenceLine"/>
        <w:ind w:hanging="720" w:start="1440" w:end="0"/>
        <w:jc w:val="both"/>
        <w:rPr>
          <w:rFonts w:ascii="Arial" w:hAnsi="Arial" w:cs="Arial"/>
          <w:sz w:val="22"/>
        </w:rPr>
      </w:pP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t>Re:</w:t>
        <w:tab/>
        <w:t>Processing of Southern Louisiana production at the Eunice Gas Processing Plant (“Eunice Plant”) located in Acadia Parish, Louisiana.</w:t>
      </w:r>
      <w:r>
        <w:rPr>
          <w:rFonts w:cs="Arial" w:ascii="Arial" w:hAnsi="Arial"/>
          <w:sz w:val="22"/>
        </w:rPr>
      </w:r>
    </w:p>
    <w:p>
      <w:pPr>
        <w:pStyle w:val="ReferenceLine"/>
        <w:ind w:start="720" w:end="0"/>
        <w:jc w:val="both"/>
        <w:rPr>
          <w:rFonts w:ascii="Arial" w:hAnsi="Arial" w:cs="Arial"/>
          <w:sz w:val="22"/>
        </w:rPr>
      </w:pPr>
      <w:r>
        <w:rPr>
          <w:rFonts w:cs="Arial" w:ascii="Arial" w:hAnsi="Arial"/>
          <w:sz w:val="22"/>
        </w:rPr>
      </w:r>
    </w:p>
    <w:p>
      <w:pPr>
        <w:pStyle w:val="ReferenceLine"/>
        <w:jc w:val="both"/>
        <w:rPr>
          <w:rFonts w:ascii="Arial" w:hAnsi="Arial" w:cs="Arial"/>
          <w:sz w:val="22"/>
        </w:rPr>
      </w:pPr>
      <w:r>
        <w:rPr>
          <w:rFonts w:cs="Arial" w:ascii="Arial" w:hAnsi="Arial"/>
          <w:sz w:val="22"/>
        </w:rPr>
      </w:r>
      <w:r>
        <w:rPr>
          <w:sz w:val="22"/>
          <w:rFonts w:cs="Arial" w:ascii="Arial" w:hAnsi="Arial"/>
        </w:rPr>
        <w:fldChar w:fldCharType="end"/>
      </w:r>
      <w:r>
        <w:fldChar w:fldCharType="begin"/>
      </w:r>
      <w:r>
        <w:rPr>
          <w:sz w:val="22"/>
          <w:rFonts w:cs="Arial" w:ascii="Arial" w:hAnsi="Arial"/>
        </w:rPr>
        <w:instrText xml:space="preserve"> AUTOTEXTLIST </w:instrText>
      </w:r>
      <w:r>
        <w:rPr>
          <w:rFonts w:cs="Arial" w:ascii="Arial" w:hAnsi="Arial"/>
          <w:sz w:val="22"/>
        </w:rPr>
      </w:r>
      <w:r>
        <w:rPr>
          <w:sz w:val="22"/>
          <w:rFonts w:cs="Arial" w:ascii="Arial" w:hAnsi="Arial"/>
        </w:rPr>
        <w:fldChar w:fldCharType="separate"/>
      </w:r>
      <w:r>
        <w:rPr>
          <w:rFonts w:cs="Arial" w:ascii="Arial" w:hAnsi="Arial"/>
          <w:sz w:val="22"/>
        </w:rPr>
        <w:t>Gentlemen:</w:t>
      </w:r>
      <w:r/>
      <w:r>
        <w:rPr>
          <w:sz w:val="22"/>
          <w:rFonts w:cs="Arial" w:ascii="Arial" w:hAnsi="Arial"/>
        </w:rPr>
        <w:fldChar w:fldCharType="end"/>
      </w:r>
      <w:r>
        <w:rPr>
          <w:rFonts w:cs="Arial" w:ascii="Arial" w:hAnsi="Arial"/>
          <w:sz w:val="22"/>
        </w:rPr>
      </w:r>
    </w:p>
    <w:p>
      <w:pPr>
        <w:pStyle w:val="BodyText"/>
        <w:jc w:val="both"/>
        <w:rPr>
          <w:rFonts w:ascii="Arial" w:hAnsi="Arial" w:cs="Arial"/>
          <w:sz w:val="22"/>
        </w:rPr>
      </w:pPr>
      <w:r>
        <w:rPr>
          <w:rFonts w:cs="Arial" w:ascii="Arial" w:hAnsi="Arial"/>
          <w:sz w:val="22"/>
        </w:rPr>
        <w:tab/>
        <w:t>Outlined below is the processing arrangement between St. Mary’s Production, LLC (“St. Mary’s”) and Enron North America Corp. (“ENA”) for St. Mary’s wellhead production transported to the Eunice Plant that is delivered into Texas Gas Transmission Corp.’s (“TXGT”) gas pipeline system at the Taylor Point meter #9437 and at the East Taylor Point meter #9502 during periods TXGT calls a Gas Btu Content and Gas Quality OFO.</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Term:  March 1, 2001 through April 30, 2001, and for so long thereafter and during such other subsequent periods from time to time prior to the Termination Time (as such term is defined in the Amended and Restated Conveyance of Overriding Royalty Interest from St. Mary’s to Brazos VPP Limited Partnership, as amended from time to time), during which TXGT has called a Gas Btu Content and Gas Quality OFO.</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Assignment of Processing Rights:  St. Mary’s hereby assigns to ENA all processing rights relative to St. Mary’s production that is delivered into TXGT’s gas pipeline system at the Taylor Point meter #9437 and at the East Taylor Point meter #9502 (the “Subject Production”), including, with the consent of Brazos VPP Limited Partnership (“Brazos”), Subject Production that is sold by St. Mary’s upstream of the Eunice Plant to Brazos pursuant to the Conveyance described above.  With the consent of Brazos, St. Mary’s specifically gives ENA the right to sell any liquids and liquefiable hydrocarbons recovered at the Eunice Plant that is attributable to the Subject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St. Mary’s shall cause the Subject Production to be transported to the Eunice Plant for the extraction of liquids and liquefiable hydrocarbons.  St. Mary’s will bear all of the plant volume reduction (“PVR”) relative to the liquefiable shrinkage and plant fuel that is attributable to the Subject Production.</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 xml:space="preserve">ENA shall pay St. Mary’s one hundred percent (100%) of ENA’s net proceeds, where “ENA’s net proceeds” shall mean the gross proceeds received by ENA from the sale of products attributable to the Subject Production less any actual processing fees or charges and/or PVR cashouts associated with processing the Subject Production pursuant to ENA’s Gas Processing Agreement with El Paso Field Services. </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In the event ENA’s net proceeds are negative with regard to any monthly accounting period, St. Mary’s shall pay such amount to ENA.</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St. Mary’s retains the right to audit ENA’s Eunice settlement schedules and related payments applicable to the processing of the Subject Production through the term of this agreement.</w:t>
      </w:r>
    </w:p>
    <w:p>
      <w:pPr>
        <w:pStyle w:val="BodyText"/>
        <w:numPr>
          <w:ilvl w:val="0"/>
          <w:numId w:val="1"/>
        </w:numPr>
        <w:tabs>
          <w:tab w:val="left" w:pos="720" w:leader="none"/>
        </w:tabs>
        <w:ind w:hanging="720" w:start="720" w:end="0"/>
        <w:jc w:val="both"/>
        <w:rPr>
          <w:rFonts w:ascii="Arial" w:hAnsi="Arial" w:cs="Arial"/>
          <w:sz w:val="22"/>
        </w:rPr>
      </w:pPr>
      <w:r>
        <w:rPr>
          <w:rFonts w:cs="Arial" w:ascii="Arial" w:hAnsi="Arial"/>
          <w:sz w:val="22"/>
        </w:rPr>
        <w:t>ENA shall remit payments to St. Mary’s within seven (7) business days after ENA receives the Eunice Plant monthly gas processing settlement statements and payments for the sale of any liquids and liquefiable hydrocarbons that are attributable to the Subject Production for such month.  Likewise, in the event ENA’s net proceeds are negative for any period, St. Mary’s shall pay such amount to ENA within seven (7) business days after St. Mary’s receives ENA’s statement therefor.</w:t>
      </w:r>
    </w:p>
    <w:p>
      <w:pPr>
        <w:pStyle w:val="BodyText"/>
        <w:spacing w:before="0" w:after="0"/>
        <w:ind w:firstLine="720" w:end="0"/>
        <w:jc w:val="both"/>
        <w:rPr>
          <w:rFonts w:ascii="Arial" w:hAnsi="Arial" w:cs="Arial"/>
          <w:sz w:val="22"/>
        </w:rPr>
      </w:pPr>
      <w:r>
        <w:rPr>
          <w:rFonts w:cs="Arial" w:ascii="Arial" w:hAnsi="Arial"/>
          <w:sz w:val="22"/>
        </w:rPr>
        <w:t>If the foregoing is in accordance with your understanding of the processing arrangements please execute below.  Please feel free to call Charlie Otto at (713) 853-5518 should you have any questions.</w:t>
      </w:r>
    </w:p>
    <w:p>
      <w:pPr>
        <w:pStyle w:val="BodyText"/>
        <w:spacing w:before="0" w:after="0"/>
        <w:ind w:start="720" w:end="0"/>
        <w:jc w:val="both"/>
        <w:rPr>
          <w:rFonts w:ascii="Arial" w:hAnsi="Arial" w:cs="Arial"/>
          <w:sz w:val="22"/>
        </w:rPr>
      </w:pPr>
      <w:r>
        <w:rPr>
          <w:rFonts w:cs="Arial" w:ascii="Arial" w:hAnsi="Arial"/>
          <w:sz w:val="22"/>
        </w:rPr>
      </w:r>
    </w:p>
    <w:p>
      <w:pPr>
        <w:pStyle w:val="BodyText"/>
        <w:spacing w:before="0" w:after="0"/>
        <w:ind w:start="720" w:end="0"/>
        <w:jc w:val="both"/>
        <w:rPr>
          <w:rFonts w:ascii="Arial" w:hAnsi="Arial" w:cs="Arial"/>
          <w:sz w:val="22"/>
        </w:rPr>
      </w:pPr>
      <w:r>
        <w:rPr>
          <w:rFonts w:cs="Arial" w:ascii="Arial" w:hAnsi="Arial"/>
          <w:sz w:val="22"/>
        </w:rPr>
        <w:tab/>
        <w:tab/>
        <w:tab/>
        <w:tab/>
        <w:tab/>
        <w:t>Sincerely,</w:t>
      </w:r>
    </w:p>
    <w:p>
      <w:pPr>
        <w:pStyle w:val="BodyText"/>
        <w:spacing w:before="0" w:after="0"/>
        <w:ind w:start="720" w:end="0"/>
        <w:jc w:val="both"/>
        <w:rPr>
          <w:rFonts w:ascii="Arial" w:hAnsi="Arial" w:cs="Arial"/>
          <w:sz w:val="22"/>
        </w:rPr>
      </w:pPr>
      <w:r>
        <w:rPr>
          <w:rFonts w:cs="Arial" w:ascii="Arial" w:hAnsi="Arial"/>
          <w:sz w:val="22"/>
        </w:rPr>
        <w:tab/>
      </w:r>
    </w:p>
    <w:p>
      <w:pPr>
        <w:pStyle w:val="BodyText"/>
        <w:ind w:firstLine="720" w:start="720" w:end="0"/>
        <w:jc w:val="both"/>
        <w:rPr>
          <w:rFonts w:ascii="Arial" w:hAnsi="Arial" w:cs="Arial"/>
          <w:sz w:val="22"/>
        </w:rPr>
      </w:pPr>
      <w:r>
        <w:rPr>
          <w:rFonts w:cs="Arial" w:ascii="Arial" w:hAnsi="Arial"/>
          <w:sz w:val="22"/>
        </w:rPr>
        <w:tab/>
        <w:tab/>
        <w:tab/>
        <w:tab/>
        <w:t>ENRON NORTH AMERICA CORP.</w:t>
      </w:r>
    </w:p>
    <w:p>
      <w:pPr>
        <w:pStyle w:val="BodyText"/>
        <w:ind w:start="720" w:end="0"/>
        <w:jc w:val="both"/>
        <w:rPr>
          <w:rFonts w:ascii="Arial" w:hAnsi="Arial" w:cs="Arial"/>
          <w:sz w:val="22"/>
        </w:rPr>
      </w:pPr>
      <w:r>
        <w:rPr>
          <w:rFonts w:cs="Arial" w:ascii="Arial" w:hAnsi="Arial"/>
          <w:sz w:val="22"/>
        </w:rPr>
      </w:r>
    </w:p>
    <w:p>
      <w:pPr>
        <w:pStyle w:val="BodyText"/>
        <w:spacing w:before="0" w:after="0"/>
        <w:ind w:start="720" w:end="0"/>
        <w:jc w:val="both"/>
        <w:rPr>
          <w:rFonts w:ascii="Arial" w:hAnsi="Arial" w:cs="Arial"/>
          <w:sz w:val="22"/>
        </w:rPr>
      </w:pPr>
      <w:r>
        <w:rPr>
          <w:rFonts w:cs="Arial" w:ascii="Arial" w:hAnsi="Arial"/>
          <w:sz w:val="22"/>
        </w:rPr>
        <w:tab/>
        <w:tab/>
        <w:tab/>
        <w:tab/>
        <w:tab/>
        <w:t>By:</w:t>
      </w:r>
      <w:r>
        <w:rPr>
          <w:rFonts w:cs="Arial" w:ascii="Arial" w:hAnsi="Arial"/>
          <w:sz w:val="22"/>
          <w:u w:val="single"/>
        </w:rPr>
        <w:tab/>
        <w:tab/>
        <w:tab/>
        <w:tab/>
        <w:tab/>
      </w:r>
    </w:p>
    <w:p>
      <w:pPr>
        <w:pStyle w:val="BodyText"/>
        <w:spacing w:before="0" w:after="0"/>
        <w:ind w:start="720" w:end="0"/>
        <w:jc w:val="both"/>
        <w:rPr>
          <w:rFonts w:ascii="Arial" w:hAnsi="Arial" w:cs="Arial"/>
          <w:sz w:val="22"/>
        </w:rPr>
      </w:pPr>
      <w:r>
        <w:rPr>
          <w:rFonts w:cs="Arial" w:ascii="Arial" w:hAnsi="Arial"/>
          <w:sz w:val="22"/>
        </w:rPr>
        <w:tab/>
        <w:tab/>
        <w:tab/>
        <w:tab/>
        <w:tab/>
        <w:t>Name:</w:t>
      </w:r>
      <w:r>
        <w:rPr>
          <w:rFonts w:cs="Arial" w:ascii="Arial" w:hAnsi="Arial"/>
          <w:sz w:val="22"/>
          <w:u w:val="single"/>
        </w:rPr>
        <w:tab/>
        <w:tab/>
        <w:tab/>
        <w:tab/>
        <w:tab/>
      </w:r>
    </w:p>
    <w:p>
      <w:pPr>
        <w:pStyle w:val="BodyText"/>
        <w:spacing w:before="0" w:after="0"/>
        <w:ind w:firstLine="720" w:start="2880" w:end="0"/>
        <w:jc w:val="both"/>
        <w:rPr/>
      </w:pPr>
      <w:r>
        <w:rPr>
          <w:rFonts w:cs="Arial" w:ascii="Arial" w:hAnsi="Arial"/>
          <w:sz w:val="22"/>
        </w:rPr>
        <w:tab/>
        <w:t>Title:</w:t>
      </w:r>
      <w:r>
        <w:rPr>
          <w:rFonts w:cs="Arial" w:ascii="Arial" w:hAnsi="Arial"/>
          <w:sz w:val="22"/>
          <w:u w:val="single"/>
        </w:rPr>
        <w:tab/>
        <w:tab/>
        <w:tab/>
        <w:tab/>
        <w:tab/>
      </w:r>
    </w:p>
    <w:p>
      <w:pPr>
        <w:pStyle w:val="BodyText"/>
        <w:spacing w:before="0" w:after="0"/>
        <w:ind w:start="86" w:end="0"/>
        <w:jc w:val="both"/>
        <w:rPr>
          <w:rFonts w:ascii="Arial" w:hAnsi="Arial" w:cs="Arial"/>
          <w:sz w:val="22"/>
          <w:u w:val="single"/>
        </w:rPr>
      </w:pPr>
      <w:r>
        <w:rPr>
          <w:rFonts w:cs="Arial" w:ascii="Arial" w:hAnsi="Arial"/>
          <w:sz w:val="22"/>
          <w:u w:val="single"/>
        </w:rPr>
      </w:r>
    </w:p>
    <w:p>
      <w:pPr>
        <w:pStyle w:val="BodyText"/>
        <w:spacing w:before="0" w:after="0"/>
        <w:ind w:start="86" w:end="0"/>
        <w:jc w:val="both"/>
        <w:rPr>
          <w:rFonts w:ascii="Arial" w:hAnsi="Arial" w:cs="Arial"/>
          <w:sz w:val="22"/>
        </w:rPr>
      </w:pPr>
      <w:r>
        <w:rPr>
          <w:rFonts w:cs="Arial" w:ascii="Arial" w:hAnsi="Arial"/>
          <w:sz w:val="22"/>
        </w:rPr>
      </w:r>
    </w:p>
    <w:p>
      <w:pPr>
        <w:pStyle w:val="BodyText"/>
        <w:spacing w:before="0" w:after="0"/>
        <w:ind w:start="86" w:end="0"/>
        <w:jc w:val="both"/>
        <w:rPr>
          <w:rFonts w:ascii="Arial" w:hAnsi="Arial" w:cs="Arial"/>
          <w:sz w:val="22"/>
        </w:rPr>
      </w:pPr>
      <w:r>
        <w:rPr>
          <w:rFonts w:cs="Arial" w:ascii="Arial" w:hAnsi="Arial"/>
          <w:sz w:val="22"/>
        </w:rPr>
        <w:t>ACCEPTED AND AGREED TO this</w:t>
      </w:r>
    </w:p>
    <w:p>
      <w:pPr>
        <w:pStyle w:val="BodyText"/>
        <w:spacing w:before="0" w:after="0"/>
        <w:ind w:start="86" w:end="0"/>
        <w:jc w:val="both"/>
        <w:rPr>
          <w:rFonts w:ascii="Arial" w:hAnsi="Arial" w:cs="Arial"/>
          <w:sz w:val="22"/>
        </w:rPr>
      </w:pPr>
      <w:r>
        <w:rPr>
          <w:rFonts w:cs="Arial" w:ascii="Arial" w:hAnsi="Arial"/>
          <w:sz w:val="22"/>
        </w:rPr>
        <w:t>_____ day of ________________, 2001.</w:t>
      </w:r>
    </w:p>
    <w:p>
      <w:pPr>
        <w:pStyle w:val="BodyText"/>
        <w:ind w:start="90" w:end="0"/>
        <w:jc w:val="both"/>
        <w:rPr>
          <w:rFonts w:ascii="Arial" w:hAnsi="Arial" w:cs="Arial"/>
          <w:sz w:val="22"/>
        </w:rPr>
      </w:pPr>
      <w:r>
        <w:rPr>
          <w:rFonts w:cs="Arial" w:ascii="Arial" w:hAnsi="Arial"/>
          <w:sz w:val="22"/>
        </w:rPr>
      </w:r>
    </w:p>
    <w:p>
      <w:pPr>
        <w:pStyle w:val="BodyText"/>
        <w:ind w:start="90" w:end="0"/>
        <w:jc w:val="both"/>
        <w:rPr>
          <w:rFonts w:ascii="Arial" w:hAnsi="Arial" w:cs="Arial"/>
          <w:sz w:val="22"/>
        </w:rPr>
      </w:pPr>
      <w:r>
        <w:rPr>
          <w:rFonts w:cs="Arial" w:ascii="Arial" w:hAnsi="Arial"/>
          <w:sz w:val="22"/>
        </w:rPr>
        <w:t>ST. MARY’S PRODUCTION, LLC</w:t>
      </w:r>
    </w:p>
    <w:p>
      <w:pPr>
        <w:pStyle w:val="BodyText"/>
        <w:ind w:start="90" w:end="0"/>
        <w:jc w:val="both"/>
        <w:rPr>
          <w:rFonts w:ascii="Arial" w:hAnsi="Arial" w:cs="Arial"/>
          <w:sz w:val="22"/>
        </w:rPr>
      </w:pPr>
      <w:r>
        <w:rPr>
          <w:rFonts w:cs="Arial" w:ascii="Arial" w:hAnsi="Arial"/>
          <w:sz w:val="22"/>
        </w:rPr>
      </w:r>
    </w:p>
    <w:p>
      <w:pPr>
        <w:pStyle w:val="BodyText"/>
        <w:spacing w:before="0" w:after="0"/>
        <w:ind w:start="86" w:end="0"/>
        <w:jc w:val="both"/>
        <w:rPr/>
      </w:pPr>
      <w:r>
        <w:rPr>
          <w:rFonts w:cs="Arial" w:ascii="Arial" w:hAnsi="Arial"/>
          <w:sz w:val="22"/>
        </w:rPr>
        <w:t>By:</w:t>
      </w:r>
      <w:r>
        <w:rPr>
          <w:rFonts w:cs="Arial" w:ascii="Arial" w:hAnsi="Arial"/>
          <w:sz w:val="22"/>
          <w:u w:val="single"/>
        </w:rPr>
        <w:tab/>
        <w:tab/>
        <w:tab/>
        <w:tab/>
        <w:tab/>
      </w:r>
    </w:p>
    <w:p>
      <w:pPr>
        <w:pStyle w:val="BodyText"/>
        <w:spacing w:before="0" w:after="0"/>
        <w:ind w:start="86" w:end="0"/>
        <w:jc w:val="both"/>
        <w:rPr/>
      </w:pPr>
      <w:r>
        <w:rPr>
          <w:rFonts w:cs="Arial" w:ascii="Arial" w:hAnsi="Arial"/>
          <w:sz w:val="22"/>
        </w:rPr>
        <w:t>Name:</w:t>
      </w:r>
      <w:r>
        <w:rPr>
          <w:rFonts w:cs="Arial" w:ascii="Arial" w:hAnsi="Arial"/>
          <w:sz w:val="22"/>
          <w:u w:val="single"/>
        </w:rPr>
        <w:tab/>
        <w:tab/>
        <w:tab/>
        <w:tab/>
      </w:r>
    </w:p>
    <w:p>
      <w:pPr>
        <w:pStyle w:val="BodyText"/>
        <w:spacing w:before="0" w:after="0"/>
        <w:ind w:start="86" w:end="0"/>
        <w:jc w:val="both"/>
        <w:rPr/>
      </w:pPr>
      <w:r>
        <w:rPr>
          <w:rFonts w:cs="Arial" w:ascii="Arial" w:hAnsi="Arial"/>
          <w:sz w:val="22"/>
        </w:rPr>
        <w:t>Title:</w:t>
      </w:r>
      <w:r>
        <w:rPr>
          <w:rFonts w:cs="Arial" w:ascii="Arial" w:hAnsi="Arial"/>
          <w:sz w:val="22"/>
          <w:u w:val="single"/>
        </w:rPr>
        <w:tab/>
        <w:tab/>
        <w:tab/>
        <w:tab/>
        <w:tab/>
      </w:r>
    </w:p>
    <w:p>
      <w:pPr>
        <w:pStyle w:val="BodyText"/>
        <w:ind w:start="720" w:end="0"/>
        <w:jc w:val="both"/>
        <w:rPr>
          <w:rFonts w:ascii="Arial" w:hAnsi="Arial" w:cs="Arial"/>
          <w:sz w:val="22"/>
          <w:u w:val="single"/>
        </w:rPr>
      </w:pPr>
      <w:r>
        <w:rPr>
          <w:rFonts w:cs="Arial" w:ascii="Arial" w:hAnsi="Arial"/>
          <w:sz w:val="22"/>
          <w:u w:val="single"/>
        </w:rPr>
      </w:r>
    </w:p>
    <w:p>
      <w:pPr>
        <w:pStyle w:val="BodyText"/>
        <w:spacing w:before="0" w:after="0"/>
        <w:jc w:val="both"/>
        <w:rPr>
          <w:rFonts w:ascii="Arial" w:hAnsi="Arial" w:cs="Arial"/>
          <w:sz w:val="22"/>
        </w:rPr>
      </w:pPr>
      <w:r>
        <w:rPr>
          <w:rFonts w:cs="Arial" w:ascii="Arial" w:hAnsi="Arial"/>
          <w:sz w:val="22"/>
        </w:rPr>
        <w:t>Joining in the execution hereof to evidence</w:t>
      </w:r>
    </w:p>
    <w:p>
      <w:pPr>
        <w:pStyle w:val="BodyText"/>
        <w:spacing w:before="0" w:after="0"/>
        <w:jc w:val="both"/>
        <w:rPr>
          <w:rFonts w:ascii="Arial" w:hAnsi="Arial" w:cs="Arial"/>
          <w:sz w:val="22"/>
        </w:rPr>
      </w:pPr>
      <w:r>
        <w:rPr>
          <w:rFonts w:cs="Arial" w:ascii="Arial" w:hAnsi="Arial"/>
          <w:sz w:val="22"/>
        </w:rPr>
        <w:t>its consent to the foregoing:</w:t>
      </w:r>
    </w:p>
    <w:p>
      <w:pPr>
        <w:pStyle w:val="BodyText"/>
        <w:jc w:val="both"/>
        <w:rPr>
          <w:rFonts w:ascii="Arial" w:hAnsi="Arial" w:cs="Arial"/>
          <w:sz w:val="22"/>
        </w:rPr>
      </w:pPr>
      <w:r>
        <w:rPr>
          <w:rFonts w:cs="Arial" w:ascii="Arial" w:hAnsi="Arial"/>
          <w:sz w:val="22"/>
        </w:rPr>
        <w:tab/>
      </w:r>
    </w:p>
    <w:p>
      <w:pPr>
        <w:pStyle w:val="BodyText"/>
        <w:jc w:val="both"/>
        <w:rPr>
          <w:rFonts w:ascii="Arial" w:hAnsi="Arial" w:cs="Arial"/>
          <w:sz w:val="22"/>
        </w:rPr>
      </w:pPr>
      <w:r>
        <w:rPr>
          <w:rFonts w:cs="Arial" w:ascii="Arial" w:hAnsi="Arial"/>
          <w:sz w:val="22"/>
        </w:rPr>
        <w:t>BRAZOS VPP LIMITED PARTNERSHIP</w:t>
      </w:r>
    </w:p>
    <w:p>
      <w:pPr>
        <w:pStyle w:val="BodyText"/>
        <w:jc w:val="both"/>
        <w:rPr>
          <w:rFonts w:ascii="Arial" w:hAnsi="Arial" w:cs="Arial"/>
          <w:sz w:val="22"/>
        </w:rPr>
      </w:pPr>
      <w:r>
        <w:rPr>
          <w:rFonts w:cs="Arial" w:ascii="Arial" w:hAnsi="Arial"/>
          <w:sz w:val="22"/>
        </w:rPr>
        <w:t>By:</w:t>
        <w:tab/>
        <w:t>Agave VPP, LLC, its General Partner</w:t>
      </w:r>
    </w:p>
    <w:p>
      <w:pPr>
        <w:pStyle w:val="BodyText"/>
        <w:jc w:val="both"/>
        <w:rPr>
          <w:rFonts w:ascii="Arial" w:hAnsi="Arial" w:cs="Arial"/>
          <w:sz w:val="22"/>
        </w:rPr>
      </w:pPr>
      <w:r>
        <w:rPr>
          <w:rFonts w:cs="Arial" w:ascii="Arial" w:hAnsi="Arial"/>
          <w:sz w:val="22"/>
        </w:rPr>
      </w:r>
    </w:p>
    <w:p>
      <w:pPr>
        <w:pStyle w:val="BodyText"/>
        <w:spacing w:before="0" w:after="0"/>
        <w:jc w:val="both"/>
        <w:rPr>
          <w:rFonts w:ascii="Arial" w:hAnsi="Arial" w:cs="Arial"/>
          <w:sz w:val="22"/>
        </w:rPr>
      </w:pPr>
      <w:r>
        <w:rPr>
          <w:rFonts w:cs="Arial" w:ascii="Arial" w:hAnsi="Arial"/>
          <w:sz w:val="22"/>
        </w:rPr>
        <w:tab/>
        <w:t>By:</w:t>
      </w:r>
      <w:r>
        <w:rPr>
          <w:rFonts w:cs="Arial" w:ascii="Arial" w:hAnsi="Arial"/>
          <w:sz w:val="22"/>
          <w:u w:val="single"/>
        </w:rPr>
        <w:tab/>
        <w:tab/>
        <w:tab/>
        <w:tab/>
        <w:tab/>
      </w:r>
    </w:p>
    <w:p>
      <w:pPr>
        <w:pStyle w:val="BodyText"/>
        <w:spacing w:before="0" w:after="0"/>
        <w:jc w:val="both"/>
        <w:rPr>
          <w:rFonts w:ascii="Arial" w:hAnsi="Arial" w:cs="Arial"/>
          <w:sz w:val="22"/>
        </w:rPr>
      </w:pPr>
      <w:r>
        <w:rPr>
          <w:rFonts w:cs="Arial" w:ascii="Arial" w:hAnsi="Arial"/>
          <w:sz w:val="22"/>
        </w:rPr>
        <w:tab/>
        <w:t>Name:</w:t>
      </w:r>
      <w:r>
        <w:rPr>
          <w:rFonts w:cs="Arial" w:ascii="Arial" w:hAnsi="Arial"/>
          <w:sz w:val="22"/>
          <w:u w:val="single"/>
        </w:rPr>
        <w:tab/>
        <w:tab/>
        <w:tab/>
        <w:tab/>
        <w:tab/>
      </w:r>
    </w:p>
    <w:p>
      <w:pPr>
        <w:pStyle w:val="BodyText"/>
        <w:spacing w:before="0" w:after="0"/>
        <w:jc w:val="both"/>
        <w:rPr/>
      </w:pPr>
      <w:r>
        <w:rPr>
          <w:rFonts w:cs="Arial" w:ascii="Arial" w:hAnsi="Arial"/>
          <w:sz w:val="22"/>
        </w:rPr>
        <w:tab/>
        <w:t>Title:</w:t>
      </w:r>
      <w:r>
        <w:rPr>
          <w:rFonts w:cs="Arial" w:ascii="Arial" w:hAnsi="Arial"/>
          <w:sz w:val="22"/>
          <w:u w:val="single"/>
        </w:rPr>
        <w:tab/>
        <w:tab/>
        <w:tab/>
        <w:tab/>
        <w:tab/>
      </w:r>
    </w:p>
    <w:sectPr>
      <w:headerReference w:type="default" r:id="rId2"/>
      <w:headerReference w:type="first" r:id="rId3"/>
      <w:type w:val="nextPage"/>
      <w:pgSz w:w="12240" w:h="15840"/>
      <w:pgMar w:left="1440" w:right="1440" w:gutter="0" w:header="720" w:top="1440" w:footer="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St. Mary’s Production, LLC</w:t>
    </w:r>
  </w:p>
  <w:p>
    <w:pPr>
      <w:pStyle w:val="Header"/>
      <w:rPr>
        <w:rFonts w:ascii="Arial" w:hAnsi="Arial" w:cs="Arial"/>
        <w:sz w:val="22"/>
      </w:rPr>
    </w:pPr>
    <w:r>
      <w:rPr>
        <w:rFonts w:cs="Arial" w:ascii="Arial" w:hAnsi="Arial"/>
        <w:sz w:val="22"/>
      </w:rPr>
      <w:t>April 18, 2001</w:t>
    </w:r>
  </w:p>
  <w:p>
    <w:pPr>
      <w:pStyle w:val="Header"/>
      <w:rPr>
        <w:rFonts w:ascii="Arial" w:hAnsi="Arial" w:cs="Arial"/>
        <w:sz w:val="22"/>
      </w:rPr>
    </w:pPr>
    <w:r>
      <w:rPr>
        <w:rFonts w:cs="Arial" w:ascii="Arial" w:hAnsi="Arial"/>
        <w:sz w:val="22"/>
      </w:rPr>
      <w:t>Page 2</w:t>
    </w:r>
  </w:p>
  <w:p>
    <w:pPr>
      <w:pStyle w:val="Header"/>
      <w:rPr>
        <w:rFonts w:ascii="Arial" w:hAnsi="Arial" w:cs="Arial"/>
        <w:sz w:val="22"/>
      </w:rPr>
    </w:pPr>
    <w:r>
      <w:rPr>
        <w:rFonts w:cs="Arial" w:ascii="Arial" w:hAnsi="Arial"/>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380223941"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2001-04-18T19:53:00Z</dcterms:created>
  <dc:creator>jessica marie presas</dc:creator>
  <dc:description/>
  <dc:language>en-CA</dc:language>
  <cp:lastModifiedBy>tbushma</cp:lastModifiedBy>
  <cp:lastPrinted>2001-04-18T10:28:00Z</cp:lastPrinted>
  <dcterms:modified xsi:type="dcterms:W3CDTF">2001-04-19T19:53:00Z</dcterms:modified>
  <cp:revision>5</cp:revision>
  <dc:subject/>
  <dc:title>August 28, 2000</dc:title>
</cp:coreProperties>
</file>