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Energy Services</w:t>
            </w:r>
          </w:p>
          <w:p>
            <w:pPr>
              <w:pStyle w:val="Normal"/>
              <w:tabs>
                <w:tab w:val="clear" w:pos="720"/>
                <w:tab w:val="left" w:pos="2412" w:leader="none"/>
              </w:tabs>
              <w:ind w:start="1962" w:end="0"/>
              <w:rPr>
                <w:i/>
                <w:i/>
                <w:sz w:val="22"/>
              </w:rPr>
            </w:pPr>
            <w:r>
              <w:rPr>
                <w:i/>
                <w:sz w:val="22"/>
              </w:rPr>
              <w:t>P.O. Box 1188</w:t>
            </w:r>
          </w:p>
          <w:p>
            <w:pPr>
              <w:pStyle w:val="Normal"/>
              <w:tabs>
                <w:tab w:val="clear" w:pos="720"/>
                <w:tab w:val="left" w:pos="2412" w:leader="none"/>
              </w:tabs>
              <w:ind w:start="1962" w:end="0"/>
              <w:rPr>
                <w:i/>
                <w:i/>
                <w:sz w:val="22"/>
              </w:rPr>
            </w:pPr>
            <w:r>
              <w:rPr>
                <w:i/>
                <w:sz w:val="22"/>
              </w:rPr>
              <w:t>Houston, Texas 77251-1188</w:t>
            </w:r>
          </w:p>
          <w:p>
            <w:pPr>
              <w:pStyle w:val="Normal"/>
              <w:tabs>
                <w:tab w:val="clear" w:pos="720"/>
                <w:tab w:val="left" w:pos="2412" w:leader="none"/>
              </w:tabs>
              <w:ind w:start="1962" w:end="0"/>
              <w:rPr>
                <w:i/>
                <w:i/>
                <w:sz w:val="22"/>
              </w:rPr>
            </w:pPr>
            <w:r>
              <w:rPr>
                <w:i/>
                <w:sz w:val="22"/>
              </w:rPr>
              <w:t>713-853-6161</w:t>
            </w:r>
          </w:p>
          <w:p>
            <w:pPr>
              <w:pStyle w:val="Normal"/>
              <w:tabs>
                <w:tab w:val="clear" w:pos="720"/>
                <w:tab w:val="left" w:pos="2412" w:leader="none"/>
              </w:tabs>
              <w:ind w:start="1962" w:end="0"/>
              <w:rPr>
                <w:i/>
                <w:i/>
                <w:sz w:val="22"/>
              </w:rPr>
            </w:pPr>
            <w:r>
              <w:rPr>
                <w:i/>
                <w:sz w:val="22"/>
              </w:rPr>
              <w:t>Fax 713-646-8860</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numPr>
          <w:ilvl w:val="0"/>
          <w:numId w:val="0"/>
        </w:numPr>
        <w:jc w:val="center"/>
        <w:outlineLvl w:val="0"/>
        <w:rPr>
          <w:b/>
          <w:sz w:val="22"/>
        </w:rPr>
      </w:pPr>
      <w:r>
        <w:rPr>
          <w:b/>
          <w:sz w:val="22"/>
        </w:rPr>
        <w:t xml:space="preserve"> </w:t>
      </w: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t>September 25, 2000</w:t>
      </w:r>
    </w:p>
    <w:p>
      <w:pPr>
        <w:pStyle w:val="Normal"/>
        <w:rPr>
          <w:sz w:val="22"/>
        </w:rPr>
      </w:pPr>
      <w:r>
        <w:rPr>
          <w:sz w:val="22"/>
        </w:rPr>
        <w:t>To:</w:t>
        <w:tab/>
        <w:tab/>
        <w:tab/>
        <w:tab/>
        <w:t>Springs Industries, Inc. (“Counterparty”)</w:t>
      </w:r>
    </w:p>
    <w:p>
      <w:pPr>
        <w:pStyle w:val="Normal"/>
        <w:rPr>
          <w:sz w:val="22"/>
        </w:rPr>
      </w:pPr>
      <w:r>
        <w:rPr>
          <w:sz w:val="22"/>
        </w:rPr>
        <w:t>Attention:</w:t>
        <w:tab/>
        <w:tab/>
        <w:tab/>
        <w:t>Larry Vaughn</w:t>
      </w:r>
    </w:p>
    <w:p>
      <w:pPr>
        <w:pStyle w:val="Normal"/>
        <w:rPr>
          <w:sz w:val="22"/>
        </w:rPr>
      </w:pPr>
      <w:r>
        <w:rPr>
          <w:sz w:val="22"/>
        </w:rPr>
        <w:t>Fax No.:</w:t>
        <w:tab/>
        <w:tab/>
        <w:tab/>
        <w:t>803-547-1545</w:t>
      </w:r>
    </w:p>
    <w:p>
      <w:pPr>
        <w:pStyle w:val="Normal"/>
        <w:numPr>
          <w:ilvl w:val="0"/>
          <w:numId w:val="0"/>
        </w:numPr>
        <w:outlineLvl w:val="0"/>
        <w:rPr>
          <w:sz w:val="22"/>
        </w:rPr>
      </w:pPr>
      <w:r>
        <w:rPr>
          <w:sz w:val="22"/>
        </w:rPr>
        <w:t>From:</w:t>
        <w:tab/>
        <w:tab/>
        <w:tab/>
        <w:tab/>
        <w:t>Enron Energy Services, Inc. (“EES”)</w:t>
      </w:r>
    </w:p>
    <w:p>
      <w:pPr>
        <w:pStyle w:val="Normal"/>
        <w:rPr>
          <w:sz w:val="22"/>
        </w:rPr>
      </w:pPr>
      <w:r>
        <w:rPr>
          <w:sz w:val="22"/>
        </w:rPr>
        <w:t>Re:</w:t>
        <w:tab/>
        <w:tab/>
        <w:tab/>
        <w:tab/>
        <w:t>Commodity Swap No. 313981</w:t>
      </w:r>
    </w:p>
    <w:p>
      <w:pPr>
        <w:pStyle w:val="Normal"/>
        <w:rPr>
          <w:sz w:val="22"/>
        </w:rPr>
      </w:pPr>
      <w:r>
        <w:rPr>
          <w:sz w:val="22"/>
        </w:rPr>
      </w:r>
    </w:p>
    <w:p>
      <w:pPr>
        <w:pStyle w:val="Normal"/>
        <w:jc w:val="center"/>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t>See Attachment</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Natural Gas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MMBtu (One Million British Thermal Units)</w:t>
            </w:r>
            <w:r>
              <w:rPr>
                <w:sz w:val="22"/>
              </w:rPr>
              <w:fldChar w:fldCharType="begin"/>
            </w:r>
            <w:r>
              <w:rPr>
                <w:sz w:val="22"/>
              </w:rPr>
              <w:instrText xml:space="preserve"> MERGEFIELD UnitOfMeasure </w:instrText>
            </w:r>
            <w:r>
              <w:rPr>
                <w:sz w:val="22"/>
              </w:rPr>
              <w:fldChar w:fldCharType="separate"/>
            </w:r>
            <w:r>
              <w:rPr>
                <w:sz w:val="22"/>
              </w:rPr>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t>September 25,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October 1,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December 31, 2000</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commencing on the Effective Date and ending with the Termination Date</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t>Payment for the applicable Determination Period will be indicated on the ensuing EES invoice, rendered in accordance with the Energy and Facilities Management Agreement between Enron Energy Services Operations, Inc. and Counterparty, dated March 31, 2000.</w:t>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t>Counterparty</w:t>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t>See Attachment</w:t>
            </w:r>
          </w:p>
        </w:tc>
      </w:tr>
    </w:tbl>
    <w:p>
      <w:pPr>
        <w:pStyle w:val="Normal"/>
        <w:rPr>
          <w:sz w:val="22"/>
        </w:rPr>
      </w:pPr>
      <w:r>
        <w:rPr>
          <w:sz w:val="22"/>
        </w:rPr>
        <w:tab/>
      </w:r>
    </w:p>
    <w:p>
      <w:pPr>
        <w:pStyle w:val="Normal"/>
        <w:rPr>
          <w:sz w:val="22"/>
        </w:rPr>
      </w:pPr>
      <w:r>
        <w:rPr>
          <w:sz w:val="22"/>
        </w:rPr>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t>EES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t>The settlement price on the last scheduled trading day of the NYMEX Henry Hub Natural Gas Futures Contract for the applicable Determination Period</w:t>
            </w:r>
          </w:p>
        </w:tc>
      </w:tr>
      <w:tr>
        <w:trPr/>
        <w:tc>
          <w:tcPr>
            <w:tcW w:w="4338" w:type="dxa"/>
            <w:tcBorders/>
          </w:tcPr>
          <w:p>
            <w:pPr>
              <w:pStyle w:val="Normal"/>
              <w:rPr>
                <w:sz w:val="22"/>
              </w:rPr>
            </w:pPr>
            <w:r>
              <w:rPr>
                <w:sz w:val="22"/>
              </w:rPr>
              <w:t xml:space="preserve">           </w:t>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numPr>
          <w:ilvl w:val="0"/>
          <w:numId w:val="0"/>
        </w:numPr>
        <w:jc w:val="both"/>
        <w:outlineLvl w:val="0"/>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t>(The credit provisions in Annex B attached hereto)</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Energy Services, Inc.</w:t>
            </w:r>
          </w:p>
        </w:tc>
        <w:tc>
          <w:tcPr>
            <w:tcW w:w="6012" w:type="dxa"/>
            <w:tcBorders/>
          </w:tcPr>
          <w:p>
            <w:pPr>
              <w:pStyle w:val="Normal"/>
              <w:rPr>
                <w:sz w:val="22"/>
              </w:rPr>
            </w:pPr>
            <w:r>
              <w:rPr>
                <w:sz w:val="22"/>
              </w:rPr>
              <w:t>Springs Industries,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Dennis Benevides</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Vice President</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October 17, 2000</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EES, ATTENTION:  ACCOUNT MANAGER – SPRINGS INDUSRIES,  Fax to: (713) 646-2621</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w:t>
            </w:r>
          </w:p>
        </w:tc>
        <w:tc>
          <w:tcPr>
            <w:tcW w:w="4932" w:type="dxa"/>
            <w:tcBorders/>
          </w:tcPr>
          <w:p>
            <w:pPr>
              <w:pStyle w:val="Normal"/>
              <w:rPr>
                <w:sz w:val="22"/>
              </w:rPr>
            </w:pPr>
            <w:r>
              <w:rPr>
                <w:b/>
                <w:sz w:val="22"/>
              </w:rPr>
              <w:t>Payment Account Information for EES:</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w:t>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«WireTransfer»</w:t>
            </w:r>
            <w:r>
              <w:rPr>
                <w:sz w:val="22"/>
              </w:rPr>
              <w:fldChar w:fldCharType="end"/>
            </w:r>
          </w:p>
        </w:tc>
      </w:tr>
      <w:tr>
        <w:trPr/>
        <w:tc>
          <w:tcPr>
            <w:tcW w:w="5508" w:type="dxa"/>
            <w:tcBorders/>
          </w:tcPr>
          <w:p>
            <w:pPr>
              <w:pStyle w:val="Normal"/>
              <w:rPr>
                <w:sz w:val="22"/>
              </w:rPr>
            </w:pPr>
            <w:r>
              <w:rPr>
                <w:sz w:val="22"/>
              </w:rPr>
              <w:t>Houston, Texas 77002</w:t>
            </w:r>
          </w:p>
        </w:tc>
        <w:tc>
          <w:tcPr>
            <w:tcW w:w="4932" w:type="dxa"/>
            <w:tcBorders/>
          </w:tcPr>
          <w:p>
            <w:pPr>
              <w:pStyle w:val="Normal"/>
              <w:rPr>
                <w:sz w:val="22"/>
              </w:rPr>
            </w:pPr>
            <w:r>
              <w:rPr>
                <w:sz w:val="22"/>
              </w:rPr>
              <w:t>Acct No. 40741022</w:t>
            </w:r>
          </w:p>
        </w:tc>
      </w:tr>
      <w:tr>
        <w:trPr/>
        <w:tc>
          <w:tcPr>
            <w:tcW w:w="5508" w:type="dxa"/>
            <w:tcBorders/>
          </w:tcPr>
          <w:p>
            <w:pPr>
              <w:pStyle w:val="Normal"/>
              <w:rPr>
                <w:sz w:val="22"/>
              </w:rPr>
            </w:pPr>
            <w:r>
              <w:rPr>
                <w:sz w:val="22"/>
              </w:rPr>
              <w:t>Attention: Account Manager – Spring Industries</w:t>
            </w:r>
          </w:p>
        </w:tc>
        <w:tc>
          <w:tcPr>
            <w:tcW w:w="4932" w:type="dxa"/>
            <w:tcBorders/>
          </w:tcPr>
          <w:p>
            <w:pPr>
              <w:pStyle w:val="Normal"/>
              <w:rPr>
                <w:sz w:val="22"/>
              </w:rPr>
            </w:pPr>
            <w:r>
              <w:rPr>
                <w:sz w:val="22"/>
              </w:rPr>
              <w:t>ABA Routing No. 021000089</w:t>
            </w:r>
          </w:p>
        </w:tc>
      </w:tr>
      <w:tr>
        <w:trPr/>
        <w:tc>
          <w:tcPr>
            <w:tcW w:w="5508" w:type="dxa"/>
            <w:tcBorders/>
          </w:tcPr>
          <w:p>
            <w:pPr>
              <w:pStyle w:val="Normal"/>
              <w:rPr>
                <w:sz w:val="22"/>
              </w:rPr>
            </w:pPr>
            <w:r>
              <w:rPr>
                <w:sz w:val="22"/>
              </w:rPr>
              <w:t>Fax: (713) 646-2621</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345-8524</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numPr>
          <w:ilvl w:val="0"/>
          <w:numId w:val="0"/>
        </w:numPr>
        <w:outlineLvl w:val="0"/>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Commodity Group</w:t>
      </w:r>
    </w:p>
    <w:p>
      <w:pPr>
        <w:pStyle w:val="Normal"/>
        <w:rPr>
          <w:sz w:val="22"/>
        </w:rPr>
      </w:pPr>
      <w:r>
        <w:rPr>
          <w:sz w:val="22"/>
        </w:rPr>
        <w:t>Fax:  (713) 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205 N. White St.</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Fort Mill, South Carolina 29715-1654</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Larry Vaughn</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(803) 547-1545</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(803) 843-1515</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1"/>
        <w:ind w:hanging="0" w:start="0"/>
        <w:rPr/>
      </w:pPr>
      <w:r>
        <w:rPr/>
        <w:t>Attachment</w:t>
      </w:r>
    </w:p>
    <w:p>
      <w:pPr>
        <w:pStyle w:val="Normal"/>
        <w:jc w:val="center"/>
        <w:rPr>
          <w:sz w:val="22"/>
        </w:rPr>
      </w:pPr>
      <w:r>
        <w:rPr>
          <w:sz w:val="22"/>
        </w:rPr>
      </w:r>
    </w:p>
    <w:p>
      <w:pPr>
        <w:pStyle w:val="Normal"/>
        <w:jc w:val="center"/>
        <w:rPr>
          <w:sz w:val="22"/>
        </w:rPr>
      </w:pPr>
      <w:r>
        <w:rPr>
          <w:sz w:val="22"/>
        </w:rPr>
      </w:r>
    </w:p>
    <w:p>
      <w:pPr>
        <w:pStyle w:val="Normal"/>
        <w:numPr>
          <w:ilvl w:val="0"/>
          <w:numId w:val="0"/>
        </w:numPr>
        <w:outlineLvl w:val="0"/>
        <w:rPr/>
      </w:pPr>
      <w:r>
        <w:rPr>
          <w:sz w:val="22"/>
        </w:rPr>
        <w:tab/>
      </w:r>
      <w:r>
        <w:rPr>
          <w:b/>
          <w:sz w:val="22"/>
        </w:rPr>
        <w:t>Unit of Measure:  MMBtu</w:t>
      </w:r>
    </w:p>
    <w:p>
      <w:pPr>
        <w:pStyle w:val="Normal"/>
        <w:rPr>
          <w:b/>
          <w:sz w:val="22"/>
        </w:rPr>
      </w:pPr>
      <w:r>
        <w:rPr>
          <w:b/>
          <w:sz w:val="22"/>
        </w:rPr>
      </w:r>
    </w:p>
    <w:p>
      <w:pPr>
        <w:pStyle w:val="Normal"/>
        <w:rPr>
          <w:b/>
          <w:sz w:val="22"/>
        </w:rPr>
      </w:pPr>
      <w:r>
        <w:rPr>
          <w:b/>
          <w:sz w:val="22"/>
        </w:rPr>
      </w:r>
    </w:p>
    <w:p>
      <w:pPr>
        <w:pStyle w:val="Normal"/>
        <w:numPr>
          <w:ilvl w:val="0"/>
          <w:numId w:val="0"/>
        </w:numPr>
        <w:outlineLvl w:val="0"/>
        <w:rPr/>
      </w:pPr>
      <w:r>
        <w:rPr>
          <w:sz w:val="22"/>
        </w:rPr>
        <w:tab/>
        <w:tab/>
        <w:tab/>
        <w:tab/>
        <w:tab/>
      </w:r>
      <w:r>
        <w:rPr>
          <w:b/>
          <w:sz w:val="22"/>
        </w:rPr>
        <w:t>Notional Quantity</w:t>
      </w:r>
    </w:p>
    <w:p>
      <w:pPr>
        <w:pStyle w:val="Heading2"/>
        <w:rPr>
          <w:u w:val="none"/>
        </w:rPr>
      </w:pPr>
      <w:r>
        <w:rPr>
          <w:u w:val="none"/>
        </w:rPr>
        <w:t>Determination</w:t>
        <w:tab/>
        <w:tab/>
        <w:t>per Determination</w:t>
        <w:tab/>
        <w:t xml:space="preserve">       </w:t>
        <w:tab/>
        <w:t xml:space="preserve">  Fixed Price</w:t>
      </w:r>
    </w:p>
    <w:p>
      <w:pPr>
        <w:pStyle w:val="Heading4"/>
        <w:rPr/>
      </w:pPr>
      <w:r>
        <w:rPr/>
        <w:t xml:space="preserve">      </w:t>
      </w:r>
      <w:r>
        <w:rPr/>
        <w:t>Period</w:t>
        <w:tab/>
        <w:tab/>
        <w:tab/>
        <w:t xml:space="preserve">         Period</w:t>
        <w:tab/>
        <w:tab/>
        <w:t xml:space="preserve">      </w:t>
        <w:tab/>
        <w:t xml:space="preserve"> ( per MMBtu)</w:t>
      </w:r>
    </w:p>
    <w:p>
      <w:pPr>
        <w:pStyle w:val="Normal"/>
        <w:ind w:start="810" w:end="0"/>
        <w:rPr>
          <w:sz w:val="22"/>
        </w:rPr>
      </w:pPr>
      <w:r>
        <w:rPr>
          <w:sz w:val="22"/>
        </w:rPr>
        <w:t>-------------------</w:t>
        <w:tab/>
        <w:tab/>
        <w:tab/>
        <w:t>------------------------</w:t>
        <w:tab/>
        <w:t xml:space="preserve">      </w:t>
        <w:tab/>
        <w:t xml:space="preserve"> -------------------</w:t>
      </w:r>
    </w:p>
    <w:p>
      <w:pPr>
        <w:pStyle w:val="Normal"/>
        <w:ind w:start="810" w:end="0"/>
        <w:rPr>
          <w:b/>
          <w:sz w:val="22"/>
        </w:rPr>
      </w:pPr>
      <w:r>
        <w:rPr>
          <w:b/>
          <w:sz w:val="22"/>
        </w:rPr>
      </w:r>
    </w:p>
    <w:p>
      <w:pPr>
        <w:pStyle w:val="Normal"/>
        <w:ind w:start="810" w:end="0"/>
        <w:rPr>
          <w:sz w:val="22"/>
        </w:rPr>
      </w:pPr>
      <w:r>
        <w:rPr>
          <w:sz w:val="22"/>
        </w:rPr>
        <w:t>October, 2000</w:t>
        <w:tab/>
        <w:tab/>
        <w:tab/>
        <w:t>220,000 MMBtu’s</w:t>
        <w:tab/>
        <w:tab/>
        <w:t>US $5.36</w:t>
      </w:r>
    </w:p>
    <w:p>
      <w:pPr>
        <w:pStyle w:val="Normal"/>
        <w:ind w:start="810" w:end="0"/>
        <w:rPr>
          <w:sz w:val="22"/>
        </w:rPr>
      </w:pPr>
      <w:r>
        <w:rPr>
          <w:sz w:val="22"/>
        </w:rPr>
        <w:t>November, 2000</w:t>
        <w:tab/>
        <w:tab/>
        <w:t>240,000 MMBtu’s</w:t>
        <w:tab/>
        <w:t xml:space="preserve">        </w:t>
        <w:tab/>
        <w:t>US $5.36</w:t>
      </w:r>
    </w:p>
    <w:p>
      <w:pPr>
        <w:pStyle w:val="Normal"/>
        <w:ind w:start="810" w:end="0"/>
        <w:rPr>
          <w:sz w:val="22"/>
        </w:rPr>
      </w:pPr>
      <w:r>
        <w:rPr>
          <w:sz w:val="22"/>
        </w:rPr>
        <w:t>December, 2000</w:t>
        <w:tab/>
        <w:tab/>
        <w:t>240,000 MMBtu’s</w:t>
        <w:tab/>
        <w:tab/>
        <w:t>US $5.36</w:t>
      </w:r>
    </w:p>
    <w:p>
      <w:pPr>
        <w:pStyle w:val="Normal"/>
        <w:ind w:start="810" w:end="0"/>
        <w:rPr>
          <w:sz w:val="22"/>
        </w:rPr>
      </w:pPr>
      <w:r>
        <w:rPr>
          <w:sz w:val="22"/>
        </w:rPr>
      </w:r>
    </w:p>
    <w:p>
      <w:pPr>
        <w:pStyle w:val="Normal"/>
        <w:rPr>
          <w:sz w:val="22"/>
        </w:rPr>
      </w:pPr>
      <w:r>
        <w:rPr>
          <w:sz w:val="22"/>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sz w:val="20"/>
      </w:rPr>
      <w:t xml:space="preserve">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ind w:hanging="0" w:start="810" w:end="0"/>
      <w:outlineLvl w:val="1"/>
    </w:pPr>
    <w:rPr>
      <w:b/>
      <w:sz w:val="22"/>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0" w:start="810" w:end="0"/>
      <w:outlineLvl w:val="3"/>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2000-10-13T18:44:00Z</dcterms:created>
  <dc:creator>ECT</dc:creator>
  <dc:description/>
  <dc:language>en-CA</dc:language>
  <cp:lastModifiedBy>Allison McHenry</cp:lastModifiedBy>
  <cp:lastPrinted>2000-10-17T11:36:00Z</cp:lastPrinted>
  <dcterms:modified xsi:type="dcterms:W3CDTF">2000-10-17T19:58:00Z</dcterms:modified>
  <cp:revision>14</cp:revision>
  <dc:subject/>
  <dc:title/>
</cp:coreProperties>
</file>