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Jones Graduate School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3383280</wp:posOffset>
                </wp:positionH>
                <wp:positionV relativeFrom="paragraph">
                  <wp:posOffset>635</wp:posOffset>
                </wp:positionV>
                <wp:extent cx="2564130" cy="7772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881" w:dyaOrig="112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187.45pt;height:53.95pt" filled="f" o:ole="">
                                  <v:imagedata r:id="rId3" o:title=""/>
                                </v:shape>
                                <o:OLEObject Type="Embed" ProgID="" ShapeID="ole_rId2" DrawAspect="Content" ObjectID="_1380461770" r:id="rId2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1.9pt;height:61.2pt;mso-wrap-distance-left:9.05pt;mso-wrap-distance-right:9.05pt;mso-wrap-distance-top:0pt;mso-wrap-distance-bottom:0pt;margin-top:0pt;mso-position-vertical-relative:text;margin-left:26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3881" w:dyaOrig="112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187.45pt;height:53.95pt" filled="f" o:ole="">
                            <v:imagedata r:id="rId5" o:title=""/>
                          </v:shape>
                          <o:OLEObject Type="Embed" ProgID="" ShapeID="ole_rId4" DrawAspect="Content" ObjectID="_1765966146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Module Schedule </w:t>
      </w:r>
    </w:p>
    <w:p>
      <w:pPr>
        <w:pStyle w:val="Heading1"/>
        <w:ind w:hanging="0" w:start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Spring 2001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jc w:val="center"/>
        <w:rPr/>
      </w:pPr>
      <w:r>
        <w:rPr>
          <w:rFonts w:eastAsia="Times"/>
        </w:rPr>
        <w:t xml:space="preserve"> </w:t>
      </w:r>
      <w:r>
        <w:rPr>
          <w:b/>
          <w:sz w:val="32"/>
        </w:rPr>
        <w:t>Module IV</w:t>
        <w:tab/>
        <w:tab/>
        <w:t>January 8 - February 17</w:t>
      </w:r>
    </w:p>
    <w:p>
      <w:pPr>
        <w:pStyle w:val="Normal"/>
        <w:ind w:firstLine="720" w:start="720" w:end="0"/>
        <w:rPr/>
      </w:pPr>
      <w:r>
        <w:rPr>
          <w:u w:val="single"/>
        </w:rPr>
        <w:t>Mon./Wed. Classes</w:t>
      </w:r>
      <w:r>
        <w:rPr/>
        <w:tab/>
        <w:tab/>
        <w:tab/>
      </w:r>
      <w:r>
        <w:rPr>
          <w:u w:val="single"/>
        </w:rPr>
        <w:t>Tues./Thurs. Classes</w:t>
      </w:r>
    </w:p>
    <w:tbl>
      <w:tblPr>
        <w:tblW w:w="8100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702"/>
        <w:gridCol w:w="630"/>
        <w:gridCol w:w="2250"/>
        <w:gridCol w:w="900"/>
        <w:gridCol w:w="630"/>
        <w:gridCol w:w="2160"/>
      </w:tblGrid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 xml:space="preserve">W </w:t>
            </w:r>
            <w:r>
              <w:rPr>
                <w:sz w:val="20"/>
              </w:rPr>
              <w:t>(Jan. 15 Holiday)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Jan.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31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702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</w:tbl>
    <w:p>
      <w:pPr>
        <w:pStyle w:val="Normal"/>
        <w:rPr>
          <w:b/>
          <w:sz w:val="20"/>
        </w:rPr>
      </w:pPr>
      <w:r>
        <w:rPr>
          <w:b/>
          <w:sz w:val="20"/>
        </w:rPr>
        <w:t>CPC/ALP Week:  Monday, January 8 – Friday, January 12</w:t>
      </w:r>
    </w:p>
    <w:p>
      <w:pPr>
        <w:pStyle w:val="Heading3"/>
        <w:ind w:hanging="0" w:start="0"/>
        <w:rPr/>
      </w:pPr>
      <w:r>
        <w:rPr/>
        <w:t>Martin Luther King Holiday:  Monday, January 15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Action Learning Project Workshop (first-year students):  Tuesday, January 16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 xml:space="preserve">Reading Day:  Wednesday, February 14  </w:t>
        <w:tab/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Final Exams:  Thursday, February 15 – Saturday, February 17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firstLine="720" w:start="720" w:end="0"/>
        <w:rPr>
          <w:b/>
        </w:rPr>
      </w:pPr>
      <w:r>
        <w:rPr>
          <w:b/>
          <w:sz w:val="32"/>
        </w:rPr>
        <w:t>Module V</w:t>
        <w:tab/>
        <w:tab/>
        <w:tab/>
        <w:t>February 19 – March 28</w:t>
      </w:r>
    </w:p>
    <w:p>
      <w:pPr>
        <w:pStyle w:val="Normal"/>
        <w:rPr>
          <w:b/>
        </w:rPr>
      </w:pPr>
      <w:r>
        <w:rPr>
          <w:b/>
        </w:rPr>
        <w:tab/>
        <w:tab/>
      </w:r>
      <w:r>
        <w:rPr>
          <w:b/>
          <w:u w:val="single"/>
        </w:rPr>
        <w:t>Mon./Wed. Classes</w:t>
      </w:r>
      <w:r>
        <w:rPr>
          <w:b/>
        </w:rPr>
        <w:tab/>
        <w:tab/>
        <w:tab/>
      </w:r>
      <w:r>
        <w:rPr>
          <w:b/>
          <w:u w:val="single"/>
        </w:rPr>
        <w:t>Tues./Thurs. Classes</w:t>
      </w:r>
    </w:p>
    <w:tbl>
      <w:tblPr>
        <w:tblW w:w="8075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792"/>
        <w:gridCol w:w="621"/>
        <w:gridCol w:w="2169"/>
        <w:gridCol w:w="900"/>
        <w:gridCol w:w="585"/>
        <w:gridCol w:w="2180"/>
      </w:tblGrid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27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Feb.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28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 xml:space="preserve">W 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 xml:space="preserve">M  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621" w:type="dxa"/>
            <w:tcBorders/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2169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Mar.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218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</w:tbl>
    <w:p>
      <w:pPr>
        <w:pStyle w:val="Normal"/>
        <w:rPr>
          <w:b/>
          <w:sz w:val="20"/>
        </w:rPr>
      </w:pPr>
      <w:r>
        <w:rPr>
          <w:b/>
          <w:sz w:val="20"/>
        </w:rPr>
        <w:t>Career Week:  Monday, February 19 – Friday, February 23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Reading Day:  Friday, March 23</w:t>
        <w:tab/>
        <w:tab/>
        <w:tab/>
      </w:r>
    </w:p>
    <w:p>
      <w:pPr>
        <w:pStyle w:val="Normal"/>
        <w:rPr>
          <w:b/>
          <w:sz w:val="20"/>
          <w:vertAlign w:val="superscript"/>
        </w:rPr>
      </w:pPr>
      <w:r>
        <w:rPr>
          <w:b/>
          <w:sz w:val="20"/>
        </w:rPr>
        <w:t>Final Exams:  Saturday, March 24 and Monday, March 26 – Wednesday, March 28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Spring Holiday:  Thursday, March 29 – Saturday, March 31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firstLine="720" w:start="720" w:end="0"/>
        <w:rPr>
          <w:b/>
          <w:sz w:val="32"/>
        </w:rPr>
      </w:pPr>
      <w:r>
        <w:rPr>
          <w:b/>
          <w:sz w:val="32"/>
        </w:rPr>
        <w:t>Module VI</w:t>
        <w:tab/>
        <w:tab/>
        <w:t>April 2 – May 4</w:t>
      </w:r>
    </w:p>
    <w:p>
      <w:pPr>
        <w:pStyle w:val="Normal"/>
        <w:rPr>
          <w:b/>
        </w:rPr>
      </w:pPr>
      <w:r>
        <w:rPr>
          <w:b/>
        </w:rPr>
        <w:tab/>
        <w:tab/>
      </w:r>
      <w:r>
        <w:rPr>
          <w:b/>
          <w:u w:val="single"/>
        </w:rPr>
        <w:t>Mon./Wed. Classes</w:t>
      </w:r>
      <w:r>
        <w:rPr>
          <w:b/>
        </w:rPr>
        <w:tab/>
        <w:tab/>
        <w:tab/>
      </w:r>
      <w:r>
        <w:rPr>
          <w:b/>
          <w:u w:val="single"/>
        </w:rPr>
        <w:t>Tues./Thurs. Classes</w:t>
      </w:r>
    </w:p>
    <w:tbl>
      <w:tblPr>
        <w:tblW w:w="7380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0"/>
        <w:gridCol w:w="990"/>
        <w:gridCol w:w="630"/>
        <w:gridCol w:w="1980"/>
        <w:gridCol w:w="900"/>
        <w:gridCol w:w="540"/>
        <w:gridCol w:w="1530"/>
      </w:tblGrid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630" w:type="dxa"/>
            <w:tcBorders/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/>
            </w:pPr>
            <w:r>
              <w:rPr/>
              <w:t>Apr.</w:t>
            </w:r>
          </w:p>
        </w:tc>
        <w:tc>
          <w:tcPr>
            <w:tcW w:w="540" w:type="dxa"/>
            <w:tcBorders/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Th</w:t>
            </w:r>
          </w:p>
        </w:tc>
      </w:tr>
    </w:tbl>
    <w:p>
      <w:pPr>
        <w:pStyle w:val="Normal"/>
        <w:rPr>
          <w:b/>
          <w:sz w:val="20"/>
        </w:rPr>
      </w:pPr>
      <w:r>
        <w:rPr>
          <w:b/>
          <w:sz w:val="20"/>
        </w:rPr>
        <w:t>Reading Day:  Friday, April 27</w:t>
        <w:tab/>
        <w:t xml:space="preserve">          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Final Exams:  Monday, April 30 – Friday, May 4</w:t>
      </w:r>
    </w:p>
    <w:p>
      <w:pPr>
        <w:pStyle w:val="Heading3"/>
        <w:ind w:hanging="0" w:start="0"/>
        <w:rPr/>
      </w:pPr>
      <w:r>
        <w:rPr/>
        <w:t xml:space="preserve">Action Learning Project Presentations:  Wednesday, May 2 – Wednesday, May 9 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Jones School Investiture:  Friday, May 11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Rice University Commencement:  Saturday, May 12</w:t>
      </w:r>
    </w:p>
    <w:sectPr>
      <w:footerReference w:type="default" r:id="rId6"/>
      <w:type w:val="nextPage"/>
      <w:pgSz w:w="12240" w:h="15840"/>
      <w:pgMar w:left="1440" w:right="1440" w:gutter="0" w:header="0" w:top="5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2"/>
      </w:rPr>
    </w:pPr>
    <w:r>
      <w:rPr>
        <w:sz w:val="12"/>
      </w:rPr>
      <w:t>Spring Module 2001 Sch.doc</w:t>
    </w:r>
  </w:p>
  <w:p>
    <w:pPr>
      <w:pStyle w:val="Footer"/>
      <w:jc w:val="end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\@"MM\/dd\/yy" </w:instrText>
    </w:r>
    <w:r>
      <w:rPr>
        <w:sz w:val="12"/>
      </w:rPr>
      <w:fldChar w:fldCharType="separate"/>
    </w:r>
    <w:r>
      <w:rPr>
        <w:sz w:val="12"/>
      </w:rPr>
      <w:t>09/28/25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2000-04-10T12:11:00Z</dcterms:created>
  <dc:creator>Jones Graduate School</dc:creator>
  <dc:description/>
  <dc:language>en-CA</dc:language>
  <cp:lastModifiedBy>Jones Graduate School</cp:lastModifiedBy>
  <cp:lastPrinted>2000-04-10T13:58:00Z</cp:lastPrinted>
  <dcterms:modified xsi:type="dcterms:W3CDTF">2000-04-10T16:31:00Z</dcterms:modified>
  <cp:revision>11</cp:revision>
  <dc:subject/>
  <dc:title>Fall 1998</dc:title>
</cp:coreProperties>
</file>