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spacing w:before="400" w:after="120"/>
        <w:ind w:firstLine="84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36"/>
        </w:rPr>
        <w:t>Memo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367665</wp:posOffset>
                </wp:positionH>
                <wp:positionV relativeFrom="paragraph">
                  <wp:posOffset>-797560</wp:posOffset>
                </wp:positionV>
                <wp:extent cx="1129665" cy="112903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" cy="11290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1778" w:dyaOrig="1778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88.9pt;height:88.9pt" filled="f" o:ole="">
                                  <v:imagedata r:id="rId3" o:title=""/>
                                </v:shape>
                                <o:OLEObject Type="Embed" ProgID="" ShapeID="ole_rId2" DrawAspect="Content" ObjectID="_2119394413" r:id="rId2"/>
                              </w:objec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8.95pt;height:88.9pt;mso-wrap-distance-left:9pt;mso-wrap-distance-right:9pt;mso-wrap-distance-top:0pt;mso-wrap-distance-bottom:0pt;margin-top:-62.8pt;mso-position-vertical-relative:text;margin-left:28.9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1778" w:dyaOrig="1778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88.9pt;height:88.9pt" filled="f" o:ole="">
                            <v:imagedata r:id="rId5" o:title=""/>
                          </v:shape>
                          <o:OLEObject Type="Embed" ProgID="" ShapeID="ole_rId4" DrawAspect="Content" ObjectID="_1333741104" r:id="rId4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essageHeaderFirst"/>
        <w:rPr/>
      </w:pPr>
      <w:r>
        <w:rPr>
          <w:rStyle w:val="MessageHeaderLabel"/>
          <w:rFonts w:cs="Times New Roman" w:ascii="Times New Roman" w:hAnsi="Times New Roman"/>
        </w:rPr>
        <w:t>Date:</w:t>
      </w:r>
      <w:r>
        <w:rPr>
          <w:rFonts w:cs="Times New Roman" w:ascii="Times New Roman" w:hAnsi="Times New Roman"/>
        </w:rPr>
        <w:tab/>
        <w:t>May 2000</w:t>
      </w:r>
    </w:p>
    <w:p>
      <w:pPr>
        <w:pStyle w:val="MessageHeaderFirst"/>
        <w:rPr/>
      </w:pPr>
      <w:r>
        <w:rPr>
          <w:rStyle w:val="MessageHeaderLabel"/>
          <w:rFonts w:cs="Times New Roman" w:ascii="Times New Roman" w:hAnsi="Times New Roman"/>
        </w:rPr>
        <w:t>To</w:t>
      </w:r>
      <w:r>
        <w:rPr>
          <w:rFonts w:cs="Times New Roman" w:ascii="Times New Roman" w:hAnsi="Times New Roman"/>
        </w:rPr>
        <w:t xml:space="preserve"> :          Distribution</w:t>
      </w:r>
    </w:p>
    <w:p>
      <w:pPr>
        <w:pStyle w:val="MessageHeader"/>
        <w:ind w:hanging="0" w:start="0" w:end="0"/>
        <w:rPr>
          <w:rStyle w:val="MessageHeaderLabel"/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</w:rPr>
      </w:r>
    </w:p>
    <w:p>
      <w:pPr>
        <w:pStyle w:val="MessageHeader"/>
        <w:ind w:hanging="0" w:start="0" w:end="0"/>
        <w:rPr/>
      </w:pPr>
      <w:r>
        <w:rPr>
          <w:rStyle w:val="MessageHeaderLabel"/>
          <w:rFonts w:cs="Times New Roman" w:ascii="Times New Roman" w:hAnsi="Times New Roman"/>
        </w:rPr>
        <w:t>From:</w:t>
      </w:r>
      <w:r>
        <w:rPr>
          <w:rFonts w:cs="Times New Roman" w:ascii="Times New Roman" w:hAnsi="Times New Roman"/>
        </w:rPr>
        <w:tab/>
        <w:t>James New and Hector Godoy</w:t>
      </w:r>
    </w:p>
    <w:p>
      <w:pPr>
        <w:pStyle w:val="MessageHeaderLast"/>
        <w:ind w:hanging="0" w:start="0" w:end="0"/>
        <w:rPr>
          <w:rFonts w:ascii="Times New Roman" w:hAnsi="Times New Roman" w:cs="Times New Roman"/>
          <w:b/>
          <w:sz w:val="22"/>
          <w:u w:val="single"/>
        </w:rPr>
      </w:pPr>
      <w:r>
        <w:rPr>
          <w:rStyle w:val="MessageHeaderLabel"/>
          <w:rFonts w:cs="Times New Roman" w:ascii="Times New Roman" w:hAnsi="Times New Roman"/>
        </w:rPr>
        <w:t>Re:</w:t>
      </w:r>
      <w:r>
        <w:rPr>
          <w:rFonts w:cs="Times New Roman" w:ascii="Times New Roman" w:hAnsi="Times New Roman"/>
        </w:rPr>
        <w:tab/>
        <w:t xml:space="preserve"> </w:t>
      </w:r>
      <w:r>
        <w:rPr>
          <w:b/>
          <w:u w:val="single"/>
        </w:rPr>
        <w:t>UK Power – Spread Options Profit and Loss Report for April 2000</w:t>
      </w:r>
    </w:p>
    <w:p>
      <w:pPr>
        <w:pStyle w:val="MessageHeader"/>
        <w:tabs>
          <w:tab w:val="clear" w:pos="720"/>
          <w:tab w:val="left" w:pos="0" w:leader="none"/>
        </w:tabs>
        <w:ind w:hanging="0" w:start="0" w:end="0"/>
        <w:rPr/>
      </w:pPr>
      <w:r>
        <w:rPr/>
        <w:t>The purpose of this memorandum is to analyse the reported profits of the Spread Options Books for the month of April 2000.</w:t>
      </w:r>
    </w:p>
    <w:p>
      <w:pPr>
        <w:pStyle w:val="Heading2"/>
        <w:ind w:hanging="0" w:start="0"/>
        <w:rPr/>
      </w:pPr>
      <w:r>
        <w:rPr/>
        <w:t>Eastern 1 / Sutton Bridge Book</w:t>
      </w:r>
    </w:p>
    <w:p>
      <w:pPr>
        <w:pStyle w:val="Normal"/>
        <w:rPr/>
      </w:pPr>
      <w:r>
        <w:rPr/>
        <w:t xml:space="preserve">Total Eastern 1/Sutton Bridge spread book profit MTD for April 2000 is </w:t>
      </w:r>
      <w:r>
        <w:rPr>
          <w:b/>
        </w:rPr>
        <w:t>£ 54.19 MM</w:t>
      </w:r>
      <w:r>
        <w:rPr/>
        <w:t>. This is shown in the table below:</w:t>
      </w:r>
    </w:p>
    <w:p>
      <w:pPr>
        <w:pStyle w:val="Normal"/>
        <w:rPr/>
      </w:pPr>
      <w:r>
        <w:rPr/>
      </w:r>
    </w:p>
    <w:tbl>
      <w:tblPr>
        <w:tblW w:w="10915" w:type="dxa"/>
        <w:jc w:val="start"/>
        <w:tblInd w:w="-1104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739"/>
        <w:gridCol w:w="821"/>
        <w:gridCol w:w="709"/>
        <w:gridCol w:w="850"/>
        <w:gridCol w:w="567"/>
        <w:gridCol w:w="709"/>
        <w:gridCol w:w="709"/>
        <w:gridCol w:w="709"/>
        <w:gridCol w:w="850"/>
        <w:gridCol w:w="567"/>
        <w:gridCol w:w="709"/>
        <w:gridCol w:w="708"/>
        <w:gridCol w:w="1134"/>
        <w:gridCol w:w="1134"/>
      </w:tblGrid>
      <w:tr>
        <w:trPr>
          <w:trHeight w:val="444" w:hRule="atLeast"/>
        </w:trPr>
        <w:tc>
          <w:tcPr>
            <w:tcW w:w="7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Gas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Price</w:t>
            </w:r>
          </w:p>
        </w:tc>
        <w:tc>
          <w:tcPr>
            <w:tcW w:w="8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Gas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Volatility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Power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Price</w:t>
            </w:r>
          </w:p>
        </w:tc>
        <w:tc>
          <w:tcPr>
            <w:tcW w:w="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Power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Volatility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Time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Correl-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Ation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Cross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Terms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Origin-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ation</w:t>
            </w:r>
          </w:p>
        </w:tc>
        <w:tc>
          <w:tcPr>
            <w:tcW w:w="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Transfe-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rred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RPI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Virtual Plant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Provi-sions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Prudency + MGI Reserve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SPREAD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BOOK</w:t>
            </w:r>
          </w:p>
        </w:tc>
      </w:tr>
      <w:tr>
        <w:trPr>
          <w:trHeight w:val="110" w:hRule="atLeast"/>
        </w:trPr>
        <w:tc>
          <w:tcPr>
            <w:tcW w:w="739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821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850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850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70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</w:tr>
      <w:tr>
        <w:trPr>
          <w:trHeight w:val="168" w:hRule="atLeast"/>
        </w:trPr>
        <w:tc>
          <w:tcPr>
            <w:tcW w:w="739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(7.21)</w:t>
            </w:r>
          </w:p>
        </w:tc>
        <w:tc>
          <w:tcPr>
            <w:tcW w:w="821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(0.01)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(0.12)</w:t>
            </w:r>
          </w:p>
        </w:tc>
        <w:tc>
          <w:tcPr>
            <w:tcW w:w="850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0.01</w:t>
            </w:r>
          </w:p>
        </w:tc>
        <w:tc>
          <w:tcPr>
            <w:tcW w:w="567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1.43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(0.01)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(0.38)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131.97</w:t>
            </w:r>
          </w:p>
        </w:tc>
        <w:tc>
          <w:tcPr>
            <w:tcW w:w="850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(58.94)</w:t>
            </w:r>
          </w:p>
        </w:tc>
        <w:tc>
          <w:tcPr>
            <w:tcW w:w="567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0.07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0.95</w:t>
            </w:r>
          </w:p>
        </w:tc>
        <w:tc>
          <w:tcPr>
            <w:tcW w:w="708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(12.99)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(0.58)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54.19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The notable movements were: 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Normal"/>
        <w:numPr>
          <w:ilvl w:val="0"/>
          <w:numId w:val="3"/>
        </w:numPr>
        <w:rPr/>
      </w:pPr>
      <w:r>
        <w:rPr>
          <w:b/>
        </w:rPr>
        <w:t xml:space="preserve">Origination, Transfers and Provisions: Project Repeat </w:t>
      </w:r>
      <w:r>
        <w:rPr/>
        <w:t>was booked on the 5</w:t>
      </w:r>
      <w:r>
        <w:rPr>
          <w:vertAlign w:val="superscript"/>
        </w:rPr>
        <w:t>th</w:t>
      </w:r>
      <w:r>
        <w:rPr/>
        <w:t xml:space="preserve"> of April, with a total profit of </w:t>
      </w:r>
      <w:r>
        <w:rPr>
          <w:b/>
        </w:rPr>
        <w:t>£55.3MM</w:t>
      </w:r>
      <w:r>
        <w:rPr/>
        <w:t>. The breakdown of the net movement of + GBP £60.1 MM is as follows: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Reversal of SB CTA</w:t>
        <w:tab/>
        <w:tab/>
        <w:tab/>
        <w:tab/>
        <w:tab/>
        <w:t>£129.2 MM</w:t>
        <w:tab/>
        <w:t>Origination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Associated Reserve Releases</w:t>
        <w:tab/>
        <w:tab/>
        <w:tab/>
        <w:t>£     9.0MM</w:t>
        <w:tab/>
        <w:t>Provisions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Unwind of Gas Deal with NAGB (Repeat)</w:t>
        <w:tab/>
        <w:tab/>
        <w:t>£(    1.0MM)</w:t>
        <w:tab/>
        <w:t>Origination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Half Hour Reserves</w:t>
        <w:tab/>
        <w:tab/>
        <w:tab/>
        <w:tab/>
        <w:tab/>
        <w:t>£(  14.0MM)</w:t>
        <w:tab/>
        <w:t>Provisions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GTC RPI Escalator Reserve</w:t>
        <w:tab/>
        <w:tab/>
        <w:tab/>
        <w:tab/>
        <w:t>£(    3.0MM)</w:t>
        <w:tab/>
        <w:t>Provisions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EFA to Calendar month Reserve</w:t>
        <w:tab/>
        <w:tab/>
        <w:tab/>
        <w:t>£(    4.0MM)</w:t>
        <w:tab/>
        <w:t>Provisions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MGI – SAP Reserve</w:t>
        <w:tab/>
        <w:tab/>
        <w:tab/>
        <w:tab/>
        <w:tab/>
        <w:t>£(    1.0MM)</w:t>
        <w:tab/>
        <w:t>Provisions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Transfer of Prudency to Power Book</w:t>
        <w:tab/>
        <w:tab/>
        <w:tab/>
        <w:t>£(  58.9MM)</w:t>
        <w:tab/>
        <w:t>Transferred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New Hedges Booking </w:t>
      </w:r>
      <w:r>
        <w:rPr>
          <w:i/>
          <w:sz w:val="16"/>
        </w:rPr>
        <w:t>(Gas +£4.1MM, Power –£0.3MM)</w:t>
      </w:r>
      <w:r>
        <w:rPr/>
        <w:tab/>
        <w:t>£     3.8MM</w:t>
        <w:tab/>
        <w:t>Origination</w:t>
      </w:r>
    </w:p>
    <w:p>
      <w:pPr>
        <w:pStyle w:val="Normal"/>
        <w:ind w:start="720" w:end="0"/>
        <w:rPr/>
      </w:pPr>
      <w:r>
        <w:rPr>
          <w:b/>
          <w:i/>
        </w:rPr>
        <w:t>TOTAL</w:t>
        <w:tab/>
        <w:tab/>
        <w:tab/>
        <w:tab/>
        <w:tab/>
        <w:tab/>
        <w:tab/>
        <w:t>£</w:t>
      </w:r>
      <w:r>
        <w:rPr>
          <w:b/>
        </w:rPr>
        <w:t xml:space="preserve">   60.1MM</w:t>
      </w:r>
    </w:p>
    <w:p>
      <w:pPr>
        <w:pStyle w:val="Normal"/>
        <w:ind w:start="720" w:end="0"/>
        <w:rPr>
          <w:b/>
          <w:i/>
          <w:i/>
        </w:rPr>
      </w:pPr>
      <w:r>
        <w:rPr>
          <w:b/>
          <w:i/>
        </w:rPr>
      </w:r>
    </w:p>
    <w:p>
      <w:pPr>
        <w:pStyle w:val="HeadingBase"/>
        <w:keepNext w:val="false"/>
        <w:keepLines w:val="false"/>
        <w:spacing w:lineRule="auto" w:line="240"/>
        <w:rPr>
          <w:rFonts w:ascii="Arial" w:hAnsi="Arial" w:cs="Arial"/>
          <w:b/>
          <w:i/>
          <w:i/>
          <w:spacing w:val="-5"/>
          <w:kern w:val="0"/>
        </w:rPr>
      </w:pPr>
      <w:r>
        <w:rPr>
          <w:rFonts w:cs="Arial" w:ascii="Arial" w:hAnsi="Arial"/>
          <w:b/>
          <w:i/>
          <w:spacing w:val="-5"/>
          <w:kern w:val="0"/>
        </w:rPr>
      </w:r>
    </w:p>
    <w:p>
      <w:pPr>
        <w:pStyle w:val="Normal"/>
        <w:numPr>
          <w:ilvl w:val="0"/>
          <w:numId w:val="3"/>
        </w:numPr>
        <w:rPr/>
      </w:pPr>
      <w:r>
        <w:rPr/>
        <w:t>P&amp;L from Gas prices, a loss of £7.21MM, is offset partially by the origination of new hedges</w:t>
      </w:r>
      <w:r>
        <w:rPr>
          <w:rStyle w:val="FootnoteCharacters"/>
          <w:rStyle w:val="FootnoteReference"/>
        </w:rPr>
        <w:footnoteReference w:id="2"/>
      </w:r>
      <w:r>
        <w:rPr/>
        <w:t xml:space="preserve"> with the NAGB, generating a profit of £4.09MM, leaving a remaining gas-related </w:t>
      </w:r>
      <w:r>
        <w:rPr>
          <w:b/>
        </w:rPr>
        <w:t>Loss</w:t>
      </w:r>
      <w:r>
        <w:rPr/>
        <w:t xml:space="preserve"> of </w:t>
      </w:r>
      <w:r>
        <w:rPr>
          <w:b/>
        </w:rPr>
        <w:t>£3.12MM</w:t>
      </w:r>
      <w:r>
        <w:rPr/>
        <w:t>. The breakdown of this loss is as follows: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00" w:leader="none"/>
        </w:tabs>
        <w:ind w:hanging="360" w:start="1200" w:end="0"/>
        <w:rPr/>
      </w:pPr>
      <w:r>
        <w:rPr/>
        <w:t>Gamma and Residual Delta</w:t>
        <w:tab/>
        <w:tab/>
        <w:tab/>
        <w:t>£(   2.10MM)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00" w:leader="none"/>
        </w:tabs>
        <w:ind w:hanging="360" w:start="1200" w:end="0"/>
        <w:rPr/>
      </w:pPr>
      <w:r>
        <w:rPr/>
        <w:t>MGI Related Delta (MGI timing difference)</w:t>
        <w:tab/>
        <w:t>£(   0.73MM)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00" w:leader="none"/>
        </w:tabs>
        <w:ind w:hanging="360" w:start="1200" w:end="0"/>
        <w:rPr/>
      </w:pPr>
      <w:r>
        <w:rPr/>
        <w:t>CTA / GSA Volumes (offset by VPL)</w:t>
        <w:tab/>
        <w:tab/>
        <w:t>£(   0.29MM)</w:t>
      </w:r>
    </w:p>
    <w:p>
      <w:pPr>
        <w:pStyle w:val="Normal"/>
        <w:ind w:start="840" w:end="0"/>
        <w:rPr/>
      </w:pPr>
      <w:r>
        <w:rPr>
          <w:b/>
          <w:i/>
        </w:rPr>
        <w:t>TOTAL</w:t>
        <w:tab/>
        <w:tab/>
        <w:tab/>
        <w:tab/>
        <w:tab/>
        <w:t>£</w:t>
      </w:r>
      <w:r>
        <w:rPr>
          <w:b/>
        </w:rPr>
        <w:t>(   3.12MM)</w:t>
      </w:r>
    </w:p>
    <w:p>
      <w:pPr>
        <w:pStyle w:val="Normal"/>
        <w:ind w:start="84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Power price P&amp;L, a loss of £0.12MM, is increased when the origination of new hedges with the Power Book is included (a loss of £0.33MM), generating a total </w:t>
      </w:r>
      <w:r>
        <w:rPr>
          <w:b/>
        </w:rPr>
        <w:t>loss</w:t>
      </w:r>
      <w:r>
        <w:rPr/>
        <w:t xml:space="preserve"> of </w:t>
      </w:r>
      <w:r>
        <w:rPr>
          <w:b/>
        </w:rPr>
        <w:t>£0.45MM</w:t>
      </w:r>
      <w:r>
        <w:rPr/>
        <w:t>. The P&amp;L due to Gamma and Intramonth Delta fully explained this loss, Gamma accounts for £0.25MM loss and intramonth P&amp;L £0.2MM.</w:t>
      </w:r>
    </w:p>
    <w:p>
      <w:pPr>
        <w:pStyle w:val="Normal"/>
        <w:numPr>
          <w:ilvl w:val="0"/>
          <w:numId w:val="3"/>
        </w:numPr>
        <w:rPr/>
      </w:pPr>
      <w:r>
        <w:rPr/>
        <w:t>Time value experienced an increase due to project Repeat due to the unbooking of a long spread option position (which generates negative time value). The value per day increased from £0.03MM to approx. £0.05MM.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Prudency levels increased by £0.58MM. </w:t>
      </w:r>
      <w:r>
        <w:rPr>
          <w:b/>
        </w:rPr>
        <w:t>Project Repeat</w:t>
      </w:r>
      <w:r>
        <w:rPr/>
        <w:t xml:space="preserve"> accounted for a  </w:t>
      </w:r>
      <w:r>
        <w:rPr>
          <w:b/>
        </w:rPr>
        <w:t>£1.0MM</w:t>
      </w:r>
      <w:r>
        <w:rPr/>
        <w:t xml:space="preserve"> increase to cover potential transition period losses and increased gamma exposure. The rest being MGI timing difference prudency.</w:t>
      </w:r>
    </w:p>
    <w:p>
      <w:pPr>
        <w:pStyle w:val="Normal"/>
        <w:numPr>
          <w:ilvl w:val="0"/>
          <w:numId w:val="3"/>
        </w:numPr>
        <w:rPr/>
      </w:pPr>
      <w:r>
        <w:rPr/>
        <w:t>The Virtual Plant Line was £0.95MM. This amount offsets partially gas and power price P&amp;L, due to differences between actual and predicted volumes and prices.</w:t>
      </w:r>
    </w:p>
    <w:p>
      <w:pPr>
        <w:pStyle w:val="Normal"/>
        <w:numPr>
          <w:ilvl w:val="0"/>
          <w:numId w:val="3"/>
        </w:numPr>
        <w:rPr/>
      </w:pPr>
      <w:r>
        <w:rPr/>
        <w:t>Cross terms are expected when big movements in the power/gas spread occur in different directions due to the assumed positive correlation between both commodities; this occurred this month as gas prices moved sharply and power prices were relatively stable.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Eastern 2 Book</w:t>
      </w:r>
    </w:p>
    <w:p>
      <w:pPr>
        <w:pStyle w:val="Normal"/>
        <w:rPr/>
      </w:pPr>
      <w:r>
        <w:rPr/>
        <w:t>Total Eastern 2 spread book P&amp;L MTD for April 2000 is £(0.69) MM. This is shown in the table below: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357" w:type="dxa"/>
        <w:jc w:val="start"/>
        <w:tblInd w:w="-537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739"/>
        <w:gridCol w:w="821"/>
        <w:gridCol w:w="709"/>
        <w:gridCol w:w="850"/>
        <w:gridCol w:w="567"/>
        <w:gridCol w:w="709"/>
        <w:gridCol w:w="709"/>
        <w:gridCol w:w="709"/>
        <w:gridCol w:w="567"/>
        <w:gridCol w:w="709"/>
        <w:gridCol w:w="1134"/>
        <w:gridCol w:w="1134"/>
      </w:tblGrid>
      <w:tr>
        <w:trPr>
          <w:trHeight w:val="444" w:hRule="atLeast"/>
        </w:trPr>
        <w:tc>
          <w:tcPr>
            <w:tcW w:w="7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Gas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Price</w:t>
            </w:r>
          </w:p>
        </w:tc>
        <w:tc>
          <w:tcPr>
            <w:tcW w:w="8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Gas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Volatility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Power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Price</w:t>
            </w:r>
          </w:p>
        </w:tc>
        <w:tc>
          <w:tcPr>
            <w:tcW w:w="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Power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Volatility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Time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Correl-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Ation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Cross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Terms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Origin-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ation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RPI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Virtual Plant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Prudency + MGI Reserve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SPREAD</w:t>
            </w:r>
          </w:p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BOOK</w:t>
            </w:r>
          </w:p>
        </w:tc>
      </w:tr>
      <w:tr>
        <w:trPr>
          <w:trHeight w:val="110" w:hRule="atLeast"/>
        </w:trPr>
        <w:tc>
          <w:tcPr>
            <w:tcW w:w="739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821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850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567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709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  <w:tc>
          <w:tcPr>
            <w:tcW w:w="1134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i/>
                <w:i/>
                <w:color w:val="000000"/>
                <w:sz w:val="18"/>
                <w:lang w:val="en-AU" w:eastAsia="en-US"/>
              </w:rPr>
            </w:pPr>
            <w:r>
              <w:rPr>
                <w:i/>
                <w:color w:val="000000"/>
                <w:sz w:val="18"/>
                <w:lang w:val="en-AU" w:eastAsia="en-US"/>
              </w:rPr>
              <w:t>MGBP</w:t>
            </w:r>
          </w:p>
        </w:tc>
      </w:tr>
      <w:tr>
        <w:trPr>
          <w:trHeight w:val="168" w:hRule="atLeast"/>
        </w:trPr>
        <w:tc>
          <w:tcPr>
            <w:tcW w:w="739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(1.20)</w:t>
            </w:r>
          </w:p>
        </w:tc>
        <w:tc>
          <w:tcPr>
            <w:tcW w:w="821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(0.03)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(0.04)</w:t>
            </w:r>
          </w:p>
        </w:tc>
        <w:tc>
          <w:tcPr>
            <w:tcW w:w="850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(0.03)</w:t>
            </w:r>
          </w:p>
        </w:tc>
        <w:tc>
          <w:tcPr>
            <w:tcW w:w="567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0.85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(0.04)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(0.04)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(0.66)</w:t>
            </w:r>
          </w:p>
        </w:tc>
        <w:tc>
          <w:tcPr>
            <w:tcW w:w="567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0.11</w:t>
            </w:r>
          </w:p>
        </w:tc>
        <w:tc>
          <w:tcPr>
            <w:tcW w:w="709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0.26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end"/>
              <w:rPr>
                <w:color w:val="000000"/>
                <w:sz w:val="18"/>
                <w:lang w:val="en-AU" w:eastAsia="en-US"/>
              </w:rPr>
            </w:pPr>
            <w:r>
              <w:rPr>
                <w:color w:val="000000"/>
                <w:sz w:val="18"/>
                <w:lang w:val="en-AU" w:eastAsia="en-US"/>
              </w:rPr>
              <w:t>0.13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0C0C0" w:val="clear"/>
          </w:tcPr>
          <w:p>
            <w:pPr>
              <w:pStyle w:val="Normal"/>
              <w:jc w:val="end"/>
              <w:rPr>
                <w:b/>
                <w:color w:val="000000"/>
                <w:sz w:val="18"/>
                <w:lang w:val="en-AU" w:eastAsia="en-US"/>
              </w:rPr>
            </w:pPr>
            <w:r>
              <w:rPr>
                <w:b/>
                <w:color w:val="000000"/>
                <w:sz w:val="18"/>
                <w:lang w:val="en-AU" w:eastAsia="en-US"/>
              </w:rPr>
              <w:t>(0.69)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P&amp;L from Gas price, a loss of £1.20MM, is increased when the </w:t>
      </w:r>
      <w:r>
        <w:rPr>
          <w:b/>
        </w:rPr>
        <w:t>Origination</w:t>
      </w:r>
      <w:r>
        <w:rPr/>
        <w:t xml:space="preserve"> from new hedges with the NAGB is included, generating a loss of £0.60MM, leaving a remaining gas-related </w:t>
      </w:r>
      <w:r>
        <w:rPr>
          <w:b/>
        </w:rPr>
        <w:t>Loss</w:t>
      </w:r>
      <w:r>
        <w:rPr/>
        <w:t xml:space="preserve"> of </w:t>
      </w:r>
      <w:r>
        <w:rPr>
          <w:b/>
        </w:rPr>
        <w:t>£1.80MM</w:t>
      </w:r>
      <w:r>
        <w:rPr/>
        <w:t>. The breakdown of this loss is as follows: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200" w:leader="none"/>
        </w:tabs>
        <w:ind w:hanging="360" w:start="1200" w:end="0"/>
        <w:rPr/>
      </w:pPr>
      <w:r>
        <w:rPr/>
        <w:t>Gamma and Residual Delta</w:t>
        <w:tab/>
        <w:tab/>
        <w:tab/>
        <w:t>£(   1.47MM)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200" w:leader="none"/>
        </w:tabs>
        <w:ind w:hanging="360" w:start="1200" w:end="0"/>
        <w:rPr/>
      </w:pPr>
      <w:r>
        <w:rPr/>
        <w:t>MGI Related Delta (MGI timing difference)</w:t>
        <w:tab/>
        <w:t>£(   0.23MM)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200" w:leader="none"/>
        </w:tabs>
        <w:ind w:hanging="360" w:start="1200" w:end="0"/>
        <w:rPr/>
      </w:pPr>
      <w:r>
        <w:rPr/>
        <w:t>CTA / GSA Volumes (offset by VPL)</w:t>
        <w:tab/>
        <w:tab/>
        <w:t>£(   0.10MM)</w:t>
      </w:r>
    </w:p>
    <w:p>
      <w:pPr>
        <w:pStyle w:val="Normal"/>
        <w:ind w:start="840" w:end="0"/>
        <w:rPr/>
      </w:pPr>
      <w:r>
        <w:rPr>
          <w:b/>
          <w:i/>
        </w:rPr>
        <w:t>TOTAL</w:t>
        <w:tab/>
        <w:tab/>
        <w:tab/>
        <w:tab/>
        <w:tab/>
        <w:t>£</w:t>
      </w:r>
      <w:r>
        <w:rPr>
          <w:b/>
        </w:rPr>
        <w:t>(    1.80MM)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 xml:space="preserve">Similarly to E1/SB Power price P&amp;L, loss of £0.04MM, is increased when the </w:t>
      </w:r>
      <w:r>
        <w:rPr>
          <w:b/>
        </w:rPr>
        <w:t>Origination</w:t>
      </w:r>
      <w:r>
        <w:rPr/>
        <w:t xml:space="preserve"> losses (£0.06MM) from new hedges with the Power Book is included generating a total </w:t>
      </w:r>
      <w:r>
        <w:rPr>
          <w:b/>
        </w:rPr>
        <w:t>loss</w:t>
      </w:r>
      <w:r>
        <w:rPr/>
        <w:t xml:space="preserve"> of </w:t>
      </w:r>
      <w:r>
        <w:rPr>
          <w:b/>
        </w:rPr>
        <w:t>£0.10MM</w:t>
      </w:r>
      <w:r>
        <w:rPr/>
        <w:t>. The P&amp;L due to Gamma and Intramonth Delta fully explains this loss.</w:t>
      </w:r>
    </w:p>
    <w:p>
      <w:pPr>
        <w:pStyle w:val="Normal"/>
        <w:numPr>
          <w:ilvl w:val="0"/>
          <w:numId w:val="5"/>
        </w:numPr>
        <w:rPr/>
      </w:pPr>
      <w:r>
        <w:rPr/>
        <w:t>Time Value was as expected at £0.85 MM (time value per day was approximately £0.03MM).</w:t>
      </w:r>
    </w:p>
    <w:p>
      <w:pPr>
        <w:pStyle w:val="Normal"/>
        <w:numPr>
          <w:ilvl w:val="0"/>
          <w:numId w:val="5"/>
        </w:numPr>
        <w:rPr/>
      </w:pPr>
      <w:r>
        <w:rPr/>
        <w:t>Virtual Plant Line P&amp;L is due for the same reason as E1/SB.</w:t>
      </w:r>
    </w:p>
    <w:p>
      <w:pPr>
        <w:pStyle w:val="Normal"/>
        <w:numPr>
          <w:ilvl w:val="0"/>
          <w:numId w:val="5"/>
        </w:numPr>
        <w:rPr/>
      </w:pPr>
      <w:r>
        <w:rPr/>
        <w:t>Cross terms were as above for E1/SB.</w:t>
      </w:r>
    </w:p>
    <w:p>
      <w:pPr>
        <w:pStyle w:val="MessageHeader"/>
        <w:tabs>
          <w:tab w:val="clear" w:pos="720"/>
          <w:tab w:val="left" w:pos="0" w:leader="none"/>
        </w:tabs>
        <w:ind w:hanging="0" w:start="0" w:end="0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MessageHeader"/>
        <w:tabs>
          <w:tab w:val="clear" w:pos="720"/>
          <w:tab w:val="left" w:pos="0" w:leader="none"/>
        </w:tabs>
        <w:ind w:hanging="0" w:start="0" w:end="0"/>
        <w:rPr/>
      </w:pPr>
      <w:r>
        <w:rPr/>
      </w:r>
    </w:p>
    <w:p>
      <w:pPr>
        <w:pStyle w:val="MessageHeader"/>
        <w:tabs>
          <w:tab w:val="clear" w:pos="720"/>
          <w:tab w:val="left" w:pos="0" w:leader="none"/>
        </w:tabs>
        <w:ind w:hanging="0" w:start="0" w:end="0"/>
        <w:rPr/>
      </w:pPr>
      <w:r>
        <w:rPr/>
      </w:r>
    </w:p>
    <w:p>
      <w:pPr>
        <w:pStyle w:val="MessageHeader"/>
        <w:tabs>
          <w:tab w:val="clear" w:pos="720"/>
          <w:tab w:val="left" w:pos="0" w:leader="none"/>
        </w:tabs>
        <w:ind w:hanging="0" w:start="0" w:end="0"/>
        <w:rPr>
          <w:b/>
        </w:rPr>
      </w:pPr>
      <w:r>
        <w:rPr>
          <w:b/>
        </w:rPr>
      </w:r>
    </w:p>
    <w:p>
      <w:pPr>
        <w:pStyle w:val="MessageHeader"/>
        <w:tabs>
          <w:tab w:val="clear" w:pos="720"/>
          <w:tab w:val="left" w:pos="0" w:leader="none"/>
        </w:tabs>
        <w:ind w:hanging="0" w:start="0" w:end="0"/>
        <w:rPr>
          <w:b/>
        </w:rPr>
      </w:pPr>
      <w:r>
        <w:rPr>
          <w:b/>
        </w:rPr>
      </w:r>
    </w:p>
    <w:p>
      <w:pPr>
        <w:pStyle w:val="MessageHeader"/>
        <w:tabs>
          <w:tab w:val="clear" w:pos="720"/>
          <w:tab w:val="left" w:pos="0" w:leader="none"/>
        </w:tabs>
        <w:ind w:hanging="0" w:start="0" w:end="0"/>
        <w:rPr>
          <w:b/>
        </w:rPr>
      </w:pPr>
      <w:r>
        <w:rPr>
          <w:b/>
        </w:rPr>
      </w:r>
    </w:p>
    <w:p>
      <w:pPr>
        <w:pStyle w:val="MessageHeader"/>
        <w:tabs>
          <w:tab w:val="clear" w:pos="720"/>
          <w:tab w:val="left" w:pos="0" w:leader="none"/>
        </w:tabs>
        <w:ind w:hanging="0" w:start="0" w:end="0"/>
        <w:rPr>
          <w:b/>
        </w:rPr>
      </w:pPr>
      <w:r>
        <w:rPr>
          <w:b/>
        </w:rPr>
      </w:r>
    </w:p>
    <w:p>
      <w:pPr>
        <w:pStyle w:val="MessageHeader"/>
        <w:tabs>
          <w:tab w:val="clear" w:pos="720"/>
          <w:tab w:val="left" w:pos="0" w:leader="none"/>
        </w:tabs>
        <w:ind w:hanging="0" w:start="0" w:end="0"/>
        <w:rPr>
          <w:b/>
        </w:rPr>
      </w:pPr>
      <w:r>
        <w:rPr>
          <w:b/>
        </w:rPr>
      </w:r>
    </w:p>
    <w:p>
      <w:pPr>
        <w:pStyle w:val="MessageHeader"/>
        <w:tabs>
          <w:tab w:val="clear" w:pos="720"/>
          <w:tab w:val="left" w:pos="0" w:leader="none"/>
        </w:tabs>
        <w:ind w:hanging="0" w:start="0" w:end="0"/>
        <w:rPr>
          <w:b/>
        </w:rPr>
      </w:pPr>
      <w:r>
        <w:rPr>
          <w:b/>
        </w:rPr>
      </w:r>
    </w:p>
    <w:p>
      <w:pPr>
        <w:pStyle w:val="MessageHeader"/>
        <w:tabs>
          <w:tab w:val="clear" w:pos="720"/>
          <w:tab w:val="left" w:pos="0" w:leader="none"/>
        </w:tabs>
        <w:ind w:hanging="0" w:start="0" w:end="0"/>
        <w:rPr>
          <w:b/>
        </w:rPr>
      </w:pPr>
      <w:r>
        <w:rPr>
          <w:b/>
        </w:rPr>
      </w:r>
    </w:p>
    <w:p>
      <w:pPr>
        <w:pStyle w:val="MessageHeader"/>
        <w:tabs>
          <w:tab w:val="clear" w:pos="720"/>
          <w:tab w:val="left" w:pos="0" w:leader="none"/>
        </w:tabs>
        <w:ind w:hanging="0" w:start="0" w:end="0"/>
        <w:rPr>
          <w:b/>
        </w:rPr>
      </w:pPr>
      <w:r>
        <w:rPr>
          <w:b/>
        </w:rPr>
      </w:r>
    </w:p>
    <w:p>
      <w:pPr>
        <w:pStyle w:val="MessageHeader"/>
        <w:tabs>
          <w:tab w:val="clear" w:pos="720"/>
          <w:tab w:val="left" w:pos="0" w:leader="none"/>
        </w:tabs>
        <w:ind w:hanging="0" w:start="0" w:end="0"/>
        <w:rPr>
          <w:b/>
        </w:rPr>
      </w:pPr>
      <w:r>
        <w:rPr>
          <w:b/>
        </w:rPr>
      </w:r>
    </w:p>
    <w:p>
      <w:pPr>
        <w:pStyle w:val="MessageHeader"/>
        <w:tabs>
          <w:tab w:val="clear" w:pos="720"/>
          <w:tab w:val="left" w:pos="0" w:leader="none"/>
        </w:tabs>
        <w:ind w:hanging="0" w:start="0" w:end="0"/>
        <w:rPr>
          <w:b/>
        </w:rPr>
      </w:pPr>
      <w:r>
        <w:rPr>
          <w:b/>
        </w:rPr>
      </w:r>
    </w:p>
    <w:p>
      <w:pPr>
        <w:pStyle w:val="MessageHeader"/>
        <w:tabs>
          <w:tab w:val="clear" w:pos="720"/>
          <w:tab w:val="left" w:pos="0" w:leader="none"/>
        </w:tabs>
        <w:spacing w:before="0" w:after="120"/>
        <w:ind w:hanging="0" w:start="0" w:end="0"/>
        <w:rPr>
          <w:b/>
        </w:rPr>
      </w:pPr>
      <w:r>
        <w:rPr>
          <w:b/>
        </w:rPr>
      </w:r>
    </w:p>
    <w:sectPr>
      <w:headerReference w:type="default" r:id="rId6"/>
      <w:footerReference w:type="default" r:id="rId7"/>
      <w:footnotePr>
        <w:numFmt w:val="decimal"/>
        <w:numRestart w:val="eachPage"/>
      </w:footnotePr>
      <w:type w:val="nextPage"/>
      <w:pgSz w:w="11906" w:h="16838"/>
      <w:pgMar w:left="1797" w:right="1797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0" w:after="220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When new deals are booked flat, i.e., no P&amp;L, with the NAGB and UK Power book against the same curve used by the Spread Options, i.e., D-1, and there are price movement in the following trading day, the P&amp;L is accounted for as Origination for new deals in the hedges with other books, but E1SB and E2 capture this P&amp;L in Delta.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0"/>
      <w:rPr/>
    </w:pPr>
    <w:r>
      <w:rPr/>
      <w:tab/>
      <w:t>Interoffice Memo</w:t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footnotePr>
    <w:numFmt w:val="decimal"/>
    <w:numRestart w:val="eachPage"/>
    <w:footnote w:id="0"/>
    <w:footnote w:id="1"/>
  </w:footnotePr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5"/>
      <w:sz w:val="20"/>
      <w:szCs w:val="20"/>
      <w:lang w:val="en-GB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lineRule="atLeast" w:line="200" w:before="0" w:after="220"/>
      <w:outlineLvl w:val="0"/>
    </w:pPr>
    <w:rPr>
      <w:sz w:val="22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lineRule="atLeast" w:line="200"/>
      <w:outlineLvl w:val="1"/>
    </w:pPr>
    <w:rPr/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ind w:hanging="0" w:start="360" w:end="0"/>
      <w:outlineLvl w:val="2"/>
    </w:pPr>
    <w:rPr>
      <w:spacing w:val="-5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ind w:hanging="0" w:start="720" w:end="0"/>
      <w:outlineLvl w:val="3"/>
    </w:pPr>
    <w:rPr>
      <w:spacing w:val="-2"/>
      <w:sz w:val="18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ind w:hanging="0" w:start="1080" w:end="0"/>
      <w:outlineLvl w:val="4"/>
    </w:pPr>
    <w:rPr>
      <w:spacing w:val="-2"/>
      <w:sz w:val="18"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ind w:hanging="0" w:start="1440" w:end="0"/>
      <w:outlineLvl w:val="5"/>
    </w:pPr>
    <w:rPr>
      <w:spacing w:val="-4"/>
      <w:sz w:val="18"/>
    </w:rPr>
  </w:style>
  <w:style w:type="paragraph" w:styleId="Heading7">
    <w:name w:val="heading 7"/>
    <w:basedOn w:val="HeadingBase"/>
    <w:next w:val="BodyText"/>
    <w:qFormat/>
    <w:pPr>
      <w:numPr>
        <w:ilvl w:val="6"/>
        <w:numId w:val="1"/>
      </w:numPr>
      <w:ind w:hanging="0" w:start="1800" w:end="0"/>
      <w:outlineLvl w:val="6"/>
    </w:pPr>
    <w:rPr>
      <w:spacing w:val="-4"/>
      <w:sz w:val="18"/>
    </w:rPr>
  </w:style>
  <w:style w:type="paragraph" w:styleId="Heading8">
    <w:name w:val="heading 8"/>
    <w:basedOn w:val="HeadingBase"/>
    <w:next w:val="BodyText"/>
    <w:qFormat/>
    <w:pPr>
      <w:numPr>
        <w:ilvl w:val="7"/>
        <w:numId w:val="1"/>
      </w:numPr>
      <w:ind w:hanging="0" w:start="2160" w:end="0"/>
      <w:outlineLvl w:val="7"/>
    </w:pPr>
    <w:rPr>
      <w:spacing w:val="-4"/>
      <w:sz w:val="18"/>
    </w:rPr>
  </w:style>
  <w:style w:type="paragraph" w:styleId="Heading9">
    <w:name w:val="heading 9"/>
    <w:basedOn w:val="HeadingBase"/>
    <w:next w:val="BodyText"/>
    <w:qFormat/>
    <w:pPr>
      <w:numPr>
        <w:ilvl w:val="8"/>
        <w:numId w:val="1"/>
      </w:numPr>
      <w:ind w:hanging="0" w:start="2520" w:end="0"/>
      <w:outlineLvl w:val="8"/>
    </w:pPr>
    <w:rPr>
      <w:spacing w:val="-4"/>
      <w:sz w:val="1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Lead-inEmphasis">
    <w:name w:val="Lead-in Emphasis"/>
    <w:qFormat/>
    <w:rPr>
      <w:rFonts w:ascii="Arial Black" w:hAnsi="Arial Black" w:cs="Arial Black"/>
      <w:sz w:val="18"/>
    </w:rPr>
  </w:style>
  <w:style w:type="character" w:styleId="LineNumber">
    <w:name w:val="line number"/>
    <w:basedOn w:val="DefaultParagraphFont"/>
    <w:rPr>
      <w:sz w:val="18"/>
    </w:rPr>
  </w:style>
  <w:style w:type="character" w:styleId="PageNumber">
    <w:name w:val="page number"/>
    <w:basedOn w:val="DefaultParagraphFont"/>
    <w:rPr>
      <w:sz w:val="18"/>
    </w:rPr>
  </w:style>
  <w:style w:type="character" w:styleId="Superscript">
    <w:name w:val="Superscript"/>
    <w:qFormat/>
    <w:rPr>
      <w:vertAlign w:val="superscript"/>
    </w:rPr>
  </w:style>
  <w:style w:type="character" w:styleId="MessageHeaderLabel">
    <w:name w:val="Message Header Label"/>
    <w:qFormat/>
    <w:rPr>
      <w:rFonts w:ascii="Arial Black" w:hAnsi="Arial Black" w:cs="Arial Black"/>
      <w:spacing w:val="-10"/>
      <w:sz w:val="18"/>
    </w:rPr>
  </w:style>
  <w:style w:type="character" w:styleId="Emphasis">
    <w:name w:val="Emphasis"/>
    <w:qFormat/>
    <w:rPr>
      <w:rFonts w:ascii="Arial Black" w:hAnsi="Arial Black" w:cs="Arial Black"/>
      <w:sz w:val="18"/>
    </w:rPr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/>
  </w:style>
  <w:style w:type="paragraph" w:styleId="List">
    <w:name w:val="List"/>
    <w:basedOn w:val="BodyText"/>
    <w:pPr>
      <w:ind w:hanging="360" w:start="360" w:end="0"/>
    </w:pPr>
    <w:rPr/>
  </w:style>
  <w:style w:type="paragraph" w:styleId="Caption">
    <w:name w:val="caption"/>
    <w:basedOn w:val="Picture"/>
    <w:next w:val="BodyText"/>
    <w:qFormat/>
    <w:pPr>
      <w:spacing w:lineRule="atLeast" w:line="220"/>
    </w:pPr>
    <w:rPr>
      <w:i/>
      <w:sz w:val="1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jc w:val="start"/>
    </w:pPr>
    <w:rPr>
      <w:rFonts w:ascii="Arial Black" w:hAnsi="Arial Black" w:cs="Arial Black"/>
      <w:spacing w:val="-10"/>
      <w:kern w:val="2"/>
    </w:rPr>
  </w:style>
  <w:style w:type="paragraph" w:styleId="FootnoteBase">
    <w:name w:val="Footnote Base"/>
    <w:basedOn w:val="BodyText"/>
    <w:qFormat/>
    <w:pPr>
      <w:keepLines/>
      <w:spacing w:lineRule="atLeast" w:line="200"/>
    </w:pPr>
    <w:rPr>
      <w:sz w:val="16"/>
    </w:rPr>
  </w:style>
  <w:style w:type="paragraph" w:styleId="MessageHeader">
    <w:name w:val="Message Header"/>
    <w:basedOn w:val="BodyText"/>
    <w:qFormat/>
    <w:pPr>
      <w:keepLines/>
      <w:tabs>
        <w:tab w:val="left" w:pos="720" w:leader="none"/>
      </w:tabs>
      <w:spacing w:before="0" w:after="120"/>
      <w:ind w:hanging="720" w:start="720" w:end="0"/>
      <w:jc w:val="start"/>
    </w:pPr>
    <w:rPr/>
  </w:style>
  <w:style w:type="paragraph" w:styleId="BlockQuotation">
    <w:name w:val="Block Quotation"/>
    <w:basedOn w:val="BodyText"/>
    <w:qFormat/>
    <w:pPr>
      <w:keepLines/>
      <w:ind w:hanging="0" w:start="720" w:end="720"/>
    </w:pPr>
    <w:rPr/>
  </w:style>
  <w:style w:type="paragraph" w:styleId="BodyTextKeep">
    <w:name w:val="Body Text Keep"/>
    <w:basedOn w:val="BodyText"/>
    <w:qFormat/>
    <w:pPr>
      <w:keepNext w:val="true"/>
    </w:pPr>
    <w:rPr/>
  </w:style>
  <w:style w:type="paragraph" w:styleId="Picture">
    <w:name w:val="Picture"/>
    <w:basedOn w:val="Normal"/>
    <w:next w:val="Caption"/>
    <w:qFormat/>
    <w:pPr>
      <w:keepNext w:val="true"/>
    </w:pPr>
    <w:rPr/>
  </w:style>
  <w:style w:type="paragraph" w:styleId="DocumentLabel">
    <w:name w:val="Document Label"/>
    <w:basedOn w:val="HeadingBase"/>
    <w:next w:val="MessageHeaderFirst"/>
    <w:qFormat/>
    <w:pPr>
      <w:spacing w:lineRule="atLeast" w:line="240" w:before="400" w:after="120"/>
      <w:ind w:hanging="0" w:start="-840" w:end="0"/>
    </w:pPr>
    <w:rPr>
      <w:spacing w:val="0"/>
      <w:sz w:val="108"/>
    </w:rPr>
  </w:style>
  <w:style w:type="paragraph" w:styleId="MessageHeaderFirst">
    <w:name w:val="Message Header First"/>
    <w:basedOn w:val="MessageHeader"/>
    <w:next w:val="MessageHeader"/>
    <w:qFormat/>
    <w:pPr>
      <w:spacing w:before="220" w:after="120"/>
    </w:pPr>
    <w:rPr/>
  </w:style>
  <w:style w:type="paragraph" w:styleId="EndnoteText">
    <w:name w:val="endnote text"/>
    <w:basedOn w:val="FootnoteBase"/>
    <w:pPr/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</w:pPr>
    <w:rPr>
      <w:sz w:val="18"/>
    </w:rPr>
  </w:style>
  <w:style w:type="paragraph" w:styleId="FootnoteText">
    <w:name w:val="footnote text"/>
    <w:basedOn w:val="FootnoteBase"/>
    <w:pPr/>
    <w:rPr/>
  </w:style>
  <w:style w:type="paragraph" w:styleId="Header">
    <w:name w:val="header"/>
    <w:basedOn w:val="HeaderBase"/>
    <w:pPr>
      <w:spacing w:before="0" w:after="600"/>
    </w:pPr>
    <w:rPr/>
  </w:style>
  <w:style w:type="paragraph" w:styleId="ListBullet">
    <w:name w:val="List Bullet"/>
    <w:basedOn w:val="List"/>
    <w:qFormat/>
    <w:pPr>
      <w:numPr>
        <w:ilvl w:val="0"/>
        <w:numId w:val="7"/>
      </w:numPr>
      <w:ind w:hanging="360" w:start="720" w:end="720"/>
    </w:pPr>
    <w:rPr/>
  </w:style>
  <w:style w:type="paragraph" w:styleId="ListNumber">
    <w:name w:val="List Number"/>
    <w:basedOn w:val="List"/>
    <w:qFormat/>
    <w:pPr>
      <w:numPr>
        <w:ilvl w:val="0"/>
        <w:numId w:val="8"/>
      </w:numPr>
      <w:ind w:hanging="360" w:start="720" w:end="720"/>
    </w:pPr>
    <w:rPr/>
  </w:style>
  <w:style w:type="paragraph" w:styleId="MacroText">
    <w:name w:val="Macro Text"/>
    <w:basedOn w:val="BodyText"/>
    <w:qFormat/>
    <w:pPr>
      <w:spacing w:lineRule="auto" w:line="240"/>
      <w:jc w:val="start"/>
    </w:pPr>
    <w:rPr>
      <w:rFonts w:ascii="Courier New" w:hAnsi="Courier New" w:cs="Courier New"/>
    </w:rPr>
  </w:style>
  <w:style w:type="paragraph" w:styleId="ListNumber5">
    <w:name w:val="List Number 5"/>
    <w:basedOn w:val="ListNumber"/>
    <w:qFormat/>
    <w:pPr>
      <w:numPr>
        <w:ilvl w:val="0"/>
        <w:numId w:val="9"/>
      </w:numPr>
      <w:ind w:hanging="360" w:start="2160" w:end="720"/>
    </w:pPr>
    <w:rPr/>
  </w:style>
  <w:style w:type="paragraph" w:styleId="Date">
    <w:name w:val="Date"/>
    <w:basedOn w:val="BodyText"/>
    <w:qFormat/>
    <w:pPr>
      <w:spacing w:before="0" w:after="0"/>
      <w:jc w:val="start"/>
    </w:pPr>
    <w:rPr/>
  </w:style>
  <w:style w:type="paragraph" w:styleId="ListNumber2">
    <w:name w:val="List Number 2"/>
    <w:basedOn w:val="ListNumber"/>
    <w:qFormat/>
    <w:pPr>
      <w:numPr>
        <w:ilvl w:val="0"/>
        <w:numId w:val="10"/>
      </w:numPr>
      <w:ind w:hanging="360" w:start="1080" w:end="720"/>
    </w:pPr>
    <w:rPr/>
  </w:style>
  <w:style w:type="paragraph" w:styleId="ListNumber3">
    <w:name w:val="List Number 3"/>
    <w:basedOn w:val="ListNumber"/>
    <w:qFormat/>
    <w:pPr>
      <w:numPr>
        <w:ilvl w:val="0"/>
        <w:numId w:val="11"/>
      </w:numPr>
      <w:ind w:hanging="360" w:start="1440" w:end="720"/>
    </w:pPr>
    <w:rPr/>
  </w:style>
  <w:style w:type="paragraph" w:styleId="ListBullet5">
    <w:name w:val="List Bullet 5"/>
    <w:basedOn w:val="List"/>
    <w:pPr>
      <w:ind w:hanging="360" w:start="1800" w:end="0"/>
    </w:pPr>
    <w:rPr/>
  </w:style>
  <w:style w:type="paragraph" w:styleId="ListBullet4">
    <w:name w:val="List Bullet 4"/>
    <w:basedOn w:val="List"/>
    <w:pPr>
      <w:ind w:hanging="360" w:start="1440" w:end="0"/>
    </w:pPr>
    <w:rPr/>
  </w:style>
  <w:style w:type="paragraph" w:styleId="ListBullet3">
    <w:name w:val="List Bullet 3"/>
    <w:basedOn w:val="List"/>
    <w:pPr>
      <w:ind w:hanging="360" w:start="1080" w:end="0"/>
    </w:pPr>
    <w:rPr/>
  </w:style>
  <w:style w:type="paragraph" w:styleId="ListBullet2">
    <w:name w:val="List Bullet 2"/>
    <w:basedOn w:val="List"/>
    <w:pPr>
      <w:ind w:hanging="360" w:start="720" w:end="0"/>
    </w:pPr>
    <w:rPr/>
  </w:style>
  <w:style w:type="paragraph" w:styleId="Closing">
    <w:name w:val="Closing"/>
    <w:basedOn w:val="Normal"/>
    <w:qFormat/>
    <w:pPr>
      <w:keepNext w:val="true"/>
      <w:spacing w:lineRule="atLeast" w:line="220"/>
    </w:pPr>
    <w:rPr/>
  </w:style>
  <w:style w:type="paragraph" w:styleId="CommentText">
    <w:name w:val="Comment Text"/>
    <w:basedOn w:val="FootnoteBase"/>
    <w:qFormat/>
    <w:pPr/>
    <w:rPr/>
  </w:style>
  <w:style w:type="paragraph" w:styleId="BodyText2">
    <w:name w:val="Body Text 2"/>
    <w:basedOn w:val="BodyText"/>
    <w:qFormat/>
    <w:pPr>
      <w:ind w:hanging="0" w:start="36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ListContinue">
    <w:name w:val="List Continue"/>
    <w:basedOn w:val="List"/>
    <w:qFormat/>
    <w:pPr>
      <w:ind w:hanging="0" w:start="720" w:end="720"/>
    </w:pPr>
    <w:rPr/>
  </w:style>
  <w:style w:type="paragraph" w:styleId="ListContinue2">
    <w:name w:val="List Continue 2"/>
    <w:basedOn w:val="ListContinue"/>
    <w:qFormat/>
    <w:pPr>
      <w:ind w:hanging="0" w:start="1080" w:end="720"/>
    </w:pPr>
    <w:rPr/>
  </w:style>
  <w:style w:type="paragraph" w:styleId="ListContinue3">
    <w:name w:val="List Continue 3"/>
    <w:basedOn w:val="ListContinue"/>
    <w:qFormat/>
    <w:pPr>
      <w:ind w:hanging="0" w:start="1440" w:end="720"/>
    </w:pPr>
    <w:rPr/>
  </w:style>
  <w:style w:type="paragraph" w:styleId="ListContinue4">
    <w:name w:val="List Continue 4"/>
    <w:basedOn w:val="ListContinue"/>
    <w:qFormat/>
    <w:pPr>
      <w:ind w:hanging="0" w:start="1800" w:end="720"/>
    </w:pPr>
    <w:rPr/>
  </w:style>
  <w:style w:type="paragraph" w:styleId="ListContinue5">
    <w:name w:val="List Continue 5"/>
    <w:basedOn w:val="ListContinue"/>
    <w:qFormat/>
    <w:pPr>
      <w:ind w:hanging="0" w:start="2160" w:end="720"/>
    </w:pPr>
    <w:rPr/>
  </w:style>
  <w:style w:type="paragraph" w:styleId="ReturnAddress">
    <w:name w:val="Return Address"/>
    <w:basedOn w:val="Normal"/>
    <w:qFormat/>
    <w:pPr>
      <w:keepLines/>
      <w:tabs>
        <w:tab w:val="clear" w:pos="720"/>
        <w:tab w:val="left" w:pos="2640" w:leader="none"/>
      </w:tabs>
      <w:spacing w:lineRule="atLeast" w:line="200"/>
    </w:pPr>
    <w:rPr>
      <w:spacing w:val="-2"/>
      <w:sz w:val="16"/>
    </w:rPr>
  </w:style>
  <w:style w:type="paragraph" w:styleId="CompanyName">
    <w:name w:val="Company Name"/>
    <w:basedOn w:val="ReturnAddress"/>
    <w:qFormat/>
    <w:pPr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</w:pPr>
    <w:rPr>
      <w:rFonts w:ascii="Arial Black" w:hAnsi="Arial Black" w:cs="Arial Black"/>
      <w:spacing w:val="-15"/>
      <w:position w:val="-2"/>
      <w:sz w:val="32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  <w:jc w:val="start"/>
    </w:pPr>
    <w:rPr/>
  </w:style>
  <w:style w:type="paragraph" w:styleId="ReferenceInitials">
    <w:name w:val="Reference Initials"/>
    <w:basedOn w:val="BodyText"/>
    <w:next w:val="Enclosure"/>
    <w:qFormat/>
    <w:pPr>
      <w:keepNext w:val="true"/>
      <w:keepLines/>
      <w:spacing w:before="0" w:after="0"/>
    </w:pPr>
    <w:rPr/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ReferenceInitials"/>
    <w:qFormat/>
    <w:pPr>
      <w:spacing w:before="0" w:after="0"/>
      <w:jc w:val="start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  <w:jc w:val="start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5" w:color="000000"/>
      </w:pBdr>
      <w:spacing w:before="0" w:after="320"/>
    </w:pPr>
    <w:rPr/>
  </w:style>
  <w:style w:type="paragraph" w:styleId="EnvelopeAddress">
    <w:name w:val="envelope address"/>
    <w:basedOn w:val="Normal"/>
    <w:pPr>
      <w:ind w:hanging="0" w:start="2880" w:end="0"/>
    </w:pPr>
    <w:rPr>
      <w:sz w:val="24"/>
    </w:rPr>
  </w:style>
  <w:style w:type="paragraph" w:styleId="EnvelopeReturn">
    <w:name w:val="envelope return"/>
    <w:basedOn w:val="Normal"/>
    <w:pPr/>
    <w:rPr/>
  </w:style>
  <w:style w:type="paragraph" w:styleId="ListNumber4">
    <w:name w:val="List Number 4"/>
    <w:basedOn w:val="ListNumber"/>
    <w:qFormat/>
    <w:pPr>
      <w:numPr>
        <w:ilvl w:val="0"/>
        <w:numId w:val="12"/>
      </w:numPr>
      <w:ind w:hanging="360" w:start="1800" w:end="720"/>
    </w:pPr>
    <w:rPr/>
  </w:style>
  <w:style w:type="paragraph" w:styleId="ListBullet51">
    <w:name w:val="List Bullet 51"/>
    <w:basedOn w:val="ListBullet"/>
    <w:qFormat/>
    <w:pPr>
      <w:ind w:hanging="360" w:start="2160" w:end="720"/>
    </w:pPr>
    <w:rPr/>
  </w:style>
  <w:style w:type="paragraph" w:styleId="ListBullet21">
    <w:name w:val="List Bullet 21"/>
    <w:basedOn w:val="ListBullet"/>
    <w:qFormat/>
    <w:pPr>
      <w:ind w:hanging="360" w:start="1080" w:end="720"/>
    </w:pPr>
    <w:rPr/>
  </w:style>
  <w:style w:type="paragraph" w:styleId="ListBullet31">
    <w:name w:val="List Bullet 31"/>
    <w:basedOn w:val="ListBullet"/>
    <w:qFormat/>
    <w:pPr>
      <w:ind w:hanging="360" w:start="1440" w:end="720"/>
    </w:pPr>
    <w:rPr/>
  </w:style>
  <w:style w:type="paragraph" w:styleId="ListBullet41">
    <w:name w:val="List Bullet 41"/>
    <w:basedOn w:val="ListBullet"/>
    <w:qFormat/>
    <w:pPr>
      <w:ind w:hanging="360" w:start="1800" w:end="720"/>
    </w:pPr>
    <w:rPr/>
  </w:style>
  <w:style w:type="paragraph" w:styleId="Body">
    <w:name w:val="Body"/>
    <w:basedOn w:val="Normal"/>
    <w:qFormat/>
    <w:pPr>
      <w:ind w:hanging="0" w:start="72" w:end="0"/>
    </w:pPr>
    <w:rPr>
      <w:color w:val="000080"/>
      <w:spacing w:val="0"/>
      <w:lang w:val="en-US"/>
    </w:rPr>
  </w:style>
  <w:style w:type="paragraph" w:styleId="BodyText3">
    <w:name w:val="Body Text 3"/>
    <w:basedOn w:val="Normal"/>
    <w:qFormat/>
    <w:pPr/>
    <w:rPr>
      <w:rFonts w:ascii="Times New Roman" w:hAnsi="Times New Roman" w:cs="Times New Roman"/>
      <w:color w:val="00008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2000-05-09T19:46:00Z</dcterms:created>
  <dc:creator>Unknown</dc:creator>
  <dc:description/>
  <dc:language>en-CA</dc:language>
  <cp:lastModifiedBy>JNew</cp:lastModifiedBy>
  <cp:lastPrinted>2000-05-03T14:34:00Z</cp:lastPrinted>
  <dcterms:modified xsi:type="dcterms:W3CDTF">2000-05-09T19:48:00Z</dcterms:modified>
  <cp:revision>3</cp:revision>
  <dc:subject/>
  <dc:title>Helps you design a customized memo</dc:title>
</cp:coreProperties>
</file>