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October 17,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(Platts),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rPr>
      </w:pPr>
      <w:r>
        <w:rPr>
          <w:rFonts w:cs="Arial" w:ascii="Arial" w:hAnsi="Arial"/>
          <w:sz w:val="20"/>
        </w:rPr>
        <w:t>If a party (the “</w:t>
      </w:r>
      <w:r>
        <w:rPr>
          <w:rFonts w:cs="Arial" w:ascii="Arial" w:hAnsi="Arial"/>
          <w:sz w:val="20"/>
          <w:u w:val="single"/>
        </w:rPr>
        <w:t>Affected Party</w:t>
      </w:r>
      <w:r>
        <w:rPr>
          <w:rFonts w:cs="Arial" w:ascii="Arial" w:hAnsi="Arial"/>
          <w:sz w:val="20"/>
        </w:rPr>
        <w:t>”) shall make an assignment or arrangement for the benefit of creditors, file a petition or commence, authorize or acquiesce in the commencement of a proceeding under any bankruptcy or similar law, or have such petition filed against it, otherwise become bankrupt or insolvent, or be unable to pay its debts as due, then the other party (the “</w:t>
      </w:r>
      <w:r>
        <w:rPr>
          <w:rFonts w:cs="Arial" w:ascii="Arial" w:hAnsi="Arial"/>
          <w:sz w:val="20"/>
          <w:u w:val="single"/>
        </w:rPr>
        <w:t>Notifying Party</w:t>
      </w:r>
      <w:r>
        <w:rPr>
          <w:rFonts w:cs="Arial" w:ascii="Arial" w:hAnsi="Arial"/>
          <w:sz w:val="20"/>
        </w:rPr>
        <w:t>”) may upon three days written notice to the Affected Party establish a date on which all Transactions governed by this GTC will terminate (the “</w:t>
      </w:r>
      <w:r>
        <w:rPr>
          <w:rFonts w:cs="Arial" w:ascii="Arial" w:hAnsi="Arial"/>
          <w:sz w:val="20"/>
          <w:u w:val="single"/>
        </w:rPr>
        <w:t>Early Termination Date</w:t>
      </w:r>
      <w:r>
        <w:rPr>
          <w:rFonts w:cs="Arial" w:ascii="Arial" w:hAnsi="Arial"/>
          <w:sz w:val="20"/>
        </w:rPr>
        <w:t>”).  The Notifying Party shall calculate its damages, including associated costs and attorneys’ fees, in respect of each transaction as if no further scheduling of gas will occur and net same against each other; the resulting net amount, if positive, being immediately due and payable to the Notifying Party.</w:t>
      </w:r>
    </w:p>
    <w:p>
      <w:pPr>
        <w:pStyle w:val="Normal"/>
        <w:ind w:firstLine="720" w:end="0"/>
        <w:jc w:val="both"/>
        <w:rPr>
          <w:rFonts w:ascii="Arial" w:hAnsi="Arial" w:cs="Arial"/>
          <w:sz w:val="20"/>
        </w:rPr>
      </w:pPr>
      <w:r>
        <w:rPr>
          <w:rFonts w:cs="Arial" w:ascii="Arial" w:hAnsi="Arial"/>
          <w:sz w:val="20"/>
        </w:rPr>
        <w:t>Upon the designation of an Early Termination Date, the Notifying Party may, at is option and in its discretion, setoff, against any amounts owed or accrued and payable to the Affected Party by the Notifying Party or any of its affiliates under this GTC or under any other agreement(s), instrument(s) or undertaking(s) (“</w:t>
      </w:r>
      <w:r>
        <w:rPr>
          <w:rFonts w:cs="Arial" w:ascii="Arial" w:hAnsi="Arial"/>
          <w:sz w:val="20"/>
          <w:u w:val="single"/>
        </w:rPr>
        <w:t>Other</w:t>
      </w:r>
      <w:r>
        <w:rPr>
          <w:rFonts w:cs="Arial" w:ascii="Arial" w:hAnsi="Arial"/>
          <w:sz w:val="20"/>
        </w:rPr>
        <w:t xml:space="preserve"> </w:t>
      </w:r>
      <w:r>
        <w:rPr>
          <w:rFonts w:cs="Arial" w:ascii="Arial" w:hAnsi="Arial"/>
          <w:sz w:val="20"/>
          <w:u w:val="single"/>
        </w:rPr>
        <w:t>Obligations</w:t>
      </w:r>
      <w:r>
        <w:rPr>
          <w:rFonts w:cs="Arial" w:ascii="Arial" w:hAnsi="Arial"/>
          <w:sz w:val="20"/>
        </w:rPr>
        <w:t>”), any amounts owed by the Affected Party to the Notifying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Notifying Party will give the Affected Party notice of any setoff effected hereunder as soon as practicable after the setoff is effected provided that failure to give the notice shall not affect the validity of the setoff.  The parties represent and acknowledge that the rights set forth in this section are an integral part of the agreement between the parties and that without such rights the parties would not be willing to enter into the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 relates to this section.  Notwithstanding any provision to the contrary contained in this GTC, the Notifying Party shall not be required to pay to the Affected Party any amount until the Notifying Party receives confirmation satisfactory to it in its reasonable discretion (which may include an opinion of its counsel) that all other obligations of any kind whatsoever of the Affected Party to make payments to the Affected Party or any of its affiliates under this GTC or under Other Obligations, which are owed or otherwise accrued and payable.</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rFonts w:ascii="Arial" w:hAnsi="Arial" w:cs="Arial"/>
          <w:sz w:val="20"/>
        </w:rPr>
      </w:pPr>
      <w:r>
        <w:rPr>
          <w:rFonts w:cs="Arial" w:ascii="Arial" w:hAnsi="Arial"/>
          <w:b/>
          <w:sz w:val="20"/>
          <w:u w:val="single"/>
        </w:rPr>
        <w:t>8. Arbitration.</w:t>
      </w:r>
      <w:r>
        <w:rPr>
          <w:rFonts w:cs="Arial" w:ascii="Arial" w:hAnsi="Arial"/>
          <w:sz w:val="20"/>
        </w:rPr>
        <w:t xml:space="preserve"> </w:t>
      </w:r>
      <w:r>
        <w:rPr>
          <w:rFonts w:cs="Arial" w:ascii="Arial" w:hAnsi="Arial"/>
          <w:b/>
          <w:bCs/>
          <w:sz w:val="20"/>
          <w:u w:val="single"/>
        </w:rPr>
        <w:t>.</w:t>
      </w:r>
      <w:r>
        <w:rPr>
          <w:rFonts w:cs="Arial" w:ascii="Arial" w:hAnsi="Arial"/>
          <w:sz w:val="20"/>
        </w:rPr>
        <w:t xml:space="preserve"> Any dispute relating to this Agreement shall be resolved by binding, self-administered arbitration pursuant to the Commercial Arbitration Rules of the American Arbitration Association </w:t>
      </w:r>
      <w:r>
        <w:rPr>
          <w:rFonts w:cs="Arial" w:ascii="Arial" w:hAnsi="Arial"/>
          <w:sz w:val="20"/>
          <w:u w:val="single"/>
        </w:rPr>
        <w:t>("AAA")</w:t>
      </w:r>
      <w:r>
        <w:rPr>
          <w:rFonts w:cs="Arial" w:ascii="Arial" w:hAnsi="Arial"/>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p>
      <w:pPr>
        <w:pStyle w:val="NormalWeb"/>
        <w:rPr>
          <w:rFonts w:ascii="Arial" w:hAnsi="Arial" w:cs="Arial"/>
          <w:sz w:val="20"/>
        </w:rPr>
      </w:pPr>
      <w:r>
        <w:rPr>
          <w:rFonts w:cs="Arial" w:ascii="Arial" w:hAnsi="Arial"/>
          <w:sz w:val="20"/>
        </w:rPr>
        <w:t>The undersigned agree that from and after October ______, 2001, physical natural gas transactions between them entered into through EnronOnline shall be governed by the foregoing General Terms &amp; Conditions.</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Counterparty</w:t>
        <w:tab/>
        <w:tab/>
        <w:tab/>
        <w:tab/>
        <w:tab/>
        <w:tab/>
        <w:t>Enron North America Corp.</w:t>
      </w:r>
    </w:p>
    <w:p>
      <w:pPr>
        <w:pStyle w:val="NormalWeb"/>
        <w:rPr>
          <w:rFonts w:ascii="Arial" w:hAnsi="Arial" w:cs="Arial"/>
          <w:sz w:val="20"/>
        </w:rPr>
      </w:pPr>
      <w:r>
        <w:rPr>
          <w:rFonts w:cs="Arial" w:ascii="Arial" w:hAnsi="Arial"/>
          <w:sz w:val="20"/>
        </w:rPr>
        <w:t>By: _________________________________</w:t>
        <w:tab/>
        <w:tab/>
        <w:t>By: __________________________</w:t>
      </w:r>
    </w:p>
    <w:p>
      <w:pPr>
        <w:pStyle w:val="NormalWeb"/>
        <w:rPr>
          <w:rFonts w:ascii="Arial" w:hAnsi="Arial" w:cs="Arial"/>
          <w:sz w:val="20"/>
        </w:rPr>
      </w:pPr>
      <w:r>
        <w:rPr>
          <w:rFonts w:cs="Arial" w:ascii="Arial" w:hAnsi="Arial"/>
          <w:sz w:val="20"/>
        </w:rPr>
        <w:t>Title ________________________________</w:t>
        <w:tab/>
        <w:tab/>
        <w:t>Title _________________________</w:t>
      </w:r>
    </w:p>
    <w:p>
      <w:pPr>
        <w:pStyle w:val="NormalWeb"/>
        <w:rPr>
          <w:rFonts w:ascii="Arial" w:hAnsi="Arial" w:cs="Arial"/>
          <w:sz w:val="20"/>
        </w:rPr>
      </w:pPr>
      <w:r>
        <w:rPr>
          <w:rFonts w:cs="Arial" w:ascii="Arial" w:hAnsi="Arial"/>
          <w:sz w:val="20"/>
        </w:rPr>
        <w:t>Date_________________________________</w:t>
        <w:tab/>
        <w:tab/>
        <w:t>Date _________________________</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r>
    </w:p>
    <w:p>
      <w:pPr>
        <w:pStyle w:val="Normal"/>
        <w:spacing w:before="100" w:after="100"/>
        <w:jc w:val="both"/>
        <w:rPr>
          <w:rFonts w:ascii="Arial" w:hAnsi="Arial" w:cs="Arial"/>
          <w:sz w:val="20"/>
        </w:rPr>
      </w:pPr>
      <w:r>
        <w:rPr>
          <w:rFonts w:cs="Arial" w:ascii="Arial" w:hAnsi="Arial"/>
          <w:sz w:val="20"/>
        </w:rPr>
      </w:r>
    </w:p>
    <w:sectPr>
      <w:footerReference w:type="default" r:id="rId2"/>
      <w:type w:val="nextPage"/>
      <w:pgSz w:w="11906" w:h="16838"/>
      <w:pgMar w:left="1273" w:right="1273" w:gutter="0" w:header="0" w:top="1417"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t>Spot Version 2 Without Collateral</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2001-10-17T19:12:00Z</dcterms:created>
  <dc:creator>NEdmonds</dc:creator>
  <dc:description/>
  <dc:language>en-CA</dc:language>
  <cp:lastModifiedBy>sdickso</cp:lastModifiedBy>
  <cp:lastPrinted>2001-10-17T16:39:00Z</cp:lastPrinted>
  <dcterms:modified xsi:type="dcterms:W3CDTF">2001-10-17T19:16:00Z</dcterms:modified>
  <cp:revision>3</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