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August 10, 1999</w:t>
      </w:r>
    </w:p>
    <w:p>
      <w:pPr>
        <w:pStyle w:val="Normal"/>
        <w:numPr>
          <w:ilvl w:val="0"/>
          <w:numId w:val="0"/>
        </w:numPr>
        <w:jc w:val="center"/>
        <w:outlineLvl w:val="0"/>
        <w:rPr/>
      </w:pPr>
      <w:r>
        <w:rPr>
          <w:rFonts w:cs="Arial Narrow" w:ascii="Arial Narrow" w:hAnsi="Arial Narrow"/>
          <w:b/>
          <w:sz w:val="18"/>
        </w:rPr>
        <w:t> </w:t>
      </w:r>
      <w:r>
        <w:rPr>
          <w:rFonts w:cs="Arial" w:ascii="Arial" w:hAnsi="Arial"/>
          <w:b/>
          <w:sz w:val="20"/>
        </w:rPr>
        <w:t xml:space="preserve">"SPOT" GENERAL TERMS &amp; CONDITIONS ("GTC") </w:t>
      </w:r>
    </w:p>
    <w:p>
      <w:pPr>
        <w:pStyle w:val="Normal"/>
        <w:jc w:val="both"/>
        <w:rPr/>
      </w:pPr>
      <w:r>
        <w:rPr>
          <w:rFonts w:cs="Arial" w:ascii="Arial" w:hAnsi="Arial"/>
          <w:b/>
          <w:sz w:val="20"/>
          <w:u w:val="single"/>
        </w:rPr>
        <w:t>1. Transactions</w:t>
      </w:r>
      <w:r>
        <w:rPr>
          <w:rFonts w:cs="Arial" w:ascii="Arial" w:hAnsi="Arial"/>
          <w:sz w:val="20"/>
        </w:rPr>
        <w:t xml:space="preserve">. The parties shall engage in Transactions in accordance with these terms and conditions and the terms, set forth in the website referencing this GTC, submitted by Counterparty and accepted by Enron North America Corp. All Transactions between the parties shall be considered a single integrated agreement governed by this GTC. </w:t>
      </w:r>
      <w:r>
        <w:rPr>
          <w:rFonts w:cs="Arial" w:ascii="Arial" w:hAnsi="Arial"/>
          <w:b/>
          <w:sz w:val="20"/>
        </w:rPr>
        <w:t xml:space="preserve">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 </w:t>
      </w:r>
      <w:r>
        <w:rPr>
          <w:rFonts w:cs="Arial" w:ascii="Arial" w:hAnsi="Arial"/>
          <w:sz w:val="20"/>
        </w:rPr>
        <w:t xml:space="preserve">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r>
        <w:rPr>
          <w:rFonts w:cs="Arial" w:ascii="Arial" w:hAnsi="Arial"/>
          <w:b/>
          <w:sz w:val="20"/>
        </w:rPr>
        <w:t xml:space="preserve"> </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w:ascii="Arial" w:hAnsi="Arial"/>
          <w:b/>
          <w:sz w:val="20"/>
          <w:u w:val="single"/>
        </w:rPr>
        <w:t>3. Payments/Early Termination</w:t>
      </w:r>
      <w:r>
        <w:rPr>
          <w:rFonts w:cs="Arial" w:ascii="Arial" w:hAnsi="Arial"/>
          <w:sz w:val="20"/>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arrangement for the benefit of creditors, file a petition or commence, authorize or acquiesce in the commencement of a proceeding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Enron's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w:ascii="Arial" w:hAnsi="Arial"/>
          <w:b/>
          <w:sz w:val="20"/>
          <w:u w:val="single"/>
        </w:rPr>
        <w:t>8. 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pPr>
      <w:r>
        <w:rPr>
          <w:rFonts w:cs="Arial" w:ascii="Arial" w:hAnsi="Arial"/>
          <w:b/>
          <w:sz w:val="20"/>
        </w:rPr>
        <w:t xml:space="preserve">10. </w:t>
      </w:r>
      <w:r>
        <w:rPr>
          <w:rFonts w:cs="Arial" w:ascii="Arial" w:hAnsi="Arial"/>
          <w:b/>
          <w:sz w:val="20"/>
          <w:u w:val="single"/>
        </w:rPr>
        <w:t>Collateral Arrangements.</w:t>
      </w:r>
      <w:r>
        <w:rPr>
          <w:rFonts w:cs="Arial" w:ascii="Arial" w:hAnsi="Arial"/>
          <w:b/>
          <w:sz w:val="20"/>
        </w:rPr>
        <w:t xml:space="preserve"> </w:t>
      </w: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jc w:val="both"/>
        <w:rPr/>
      </w:pPr>
      <w:r>
        <w:rPr>
          <w:rFonts w:cs="Arial" w:ascii="Arial" w:hAnsi="Arial"/>
          <w:b/>
          <w:sz w:val="20"/>
        </w:rPr>
        <w:t xml:space="preserve">11. </w:t>
      </w:r>
      <w:r>
        <w:rPr>
          <w:rFonts w:cs="Arial" w:ascii="Arial" w:hAnsi="Arial"/>
          <w:b/>
          <w:sz w:val="20"/>
          <w:u w:val="single"/>
        </w:rPr>
        <w:t>Securities Representation.</w:t>
      </w:r>
      <w:r>
        <w:rPr>
          <w:rFonts w:cs="Arial" w:ascii="Arial" w:hAnsi="Arial"/>
          <w:b/>
          <w:sz w:val="20"/>
        </w:rPr>
        <w:t xml:space="preserve"> </w:t>
      </w:r>
      <w:r>
        <w:rPr>
          <w:rFonts w:cs="Arial" w:ascii="Arial" w:hAnsi="Arial"/>
          <w:sz w:val="20"/>
        </w:rPr>
        <w:t xml:space="preserve">The following provision shall apply for those Transactions in which the Delivery Point(s) is located in Canada: </w:t>
      </w:r>
      <w:r>
        <w:rPr>
          <w:rFonts w:cs="Arial" w:ascii="Arial" w:hAnsi="Arial"/>
          <w:color w:val="000000"/>
          <w:sz w:val="20"/>
        </w:rPr>
        <w:t>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r>
        <w:rPr>
          <w:rFonts w:cs="Arial" w:ascii="Arial" w:hAnsi="Arial"/>
          <w:b/>
          <w:sz w:val="20"/>
        </w:rPr>
        <w:t> </w:t>
      </w:r>
    </w:p>
    <w:p>
      <w:pPr>
        <w:pStyle w:val="Normal"/>
        <w:jc w:val="both"/>
        <w:rPr>
          <w:rFonts w:ascii="Arial" w:hAnsi="Arial" w:cs="Arial"/>
          <w:sz w:val="20"/>
        </w:rPr>
      </w:pPr>
      <w:r>
        <w:rPr>
          <w:rFonts w:cs="Arial" w:ascii="Arial" w:hAnsi="Arial"/>
          <w:sz w:val="20"/>
        </w:rPr>
        <w:t> </w:t>
      </w:r>
    </w:p>
    <w:p>
      <w:pPr>
        <w:pStyle w:val="Normal"/>
        <w:spacing w:before="100" w:after="100"/>
        <w:jc w:val="both"/>
        <w:rPr>
          <w:rFonts w:ascii="Arial" w:hAnsi="Arial" w:cs="Arial"/>
          <w:sz w:val="20"/>
        </w:rPr>
      </w:pPr>
      <w:r>
        <w:rPr>
          <w:rFonts w:cs="Arial" w:ascii="Arial" w:hAnsi="Arial"/>
          <w:sz w:val="20"/>
        </w:rPr>
        <w:t>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1999-10-14T18:46:00Z</dcterms:created>
  <dc:creator>NEdmonds</dc:creator>
  <dc:description/>
  <dc:language>en-CA</dc:language>
  <cp:lastModifiedBy>sdickso</cp:lastModifiedBy>
  <dcterms:modified xsi:type="dcterms:W3CDTF">2001-06-06T14:22:00Z</dcterms:modified>
  <cp:revision>5</cp:revision>
  <dc:subject/>
  <dc:title>ENA Natgas Spot GTC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