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2 – September 19, 2001</w:t>
      </w:r>
    </w:p>
    <w:p>
      <w:pPr>
        <w:pStyle w:val="Normal"/>
        <w:jc w:val="center"/>
        <w:rPr>
          <w:rFonts w:ascii="Arial" w:hAnsi="Arial" w:cs="Arial"/>
          <w:b/>
          <w:sz w:val="20"/>
        </w:rPr>
      </w:pPr>
      <w:r>
        <w:rPr>
          <w:rFonts w:cs="Arial" w:ascii="Arial" w:hAnsi="Arial"/>
          <w:b/>
          <w:sz w:val="20"/>
        </w:rPr>
        <w:t>"SPOT" GENERAL TERMS &amp; CONDITIONS ("GTC")</w:t>
      </w:r>
    </w:p>
    <w:p>
      <w:pPr>
        <w:pStyle w:val="Normal"/>
        <w:jc w:val="both"/>
        <w:rPr/>
      </w:pPr>
      <w:r>
        <w:rPr>
          <w:rFonts w:cs="Arial" w:ascii="Arial" w:hAnsi="Arial"/>
          <w:b/>
          <w:sz w:val="20"/>
          <w:u w:val="single"/>
        </w:rPr>
        <w:t>1. Transactions</w:t>
      </w:r>
      <w:r>
        <w:rPr>
          <w:rFonts w:cs="Arial" w:ascii="Arial" w:hAnsi="Arial"/>
          <w:sz w:val="20"/>
        </w:rPr>
        <w:t xml:space="preserve">. The parties shall engage in Transactions in accordance with these terms and conditions and the terms, set forth in the website referencing this GTC, submitted by Counterparty and accepted by Enron North America Corp. All Transactions between the parties shall be considered a single integrated agreement governed by this GTC. </w:t>
      </w:r>
      <w:r>
        <w:rPr>
          <w:rFonts w:cs="Arial" w:ascii="Arial" w:hAnsi="Arial"/>
          <w:b/>
          <w:sz w:val="20"/>
        </w:rPr>
        <w:t xml:space="preserve">For those Transactions in which the Delivery Point(s) is located in Canada, such Transactions and the rights and duties of the parties arising herefrom shall be governed by the laws of the Province of Alberta and each party hereby submits to the non-exclusive jurisdiction of the courts of the Province of Alberta. For those Transactions in which the Delivery Point(s) is not located in Canada, such Transactions and the rights and duties of the parties arising herefrom shall be governed by the laws of the state of Texas. </w:t>
      </w:r>
      <w:r>
        <w:rPr>
          <w:rFonts w:cs="Arial" w:ascii="Arial" w:hAnsi="Arial"/>
          <w:sz w:val="20"/>
        </w:rPr>
        <w:t xml:space="preserve">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(Platts),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Web"/>
        <w:rPr/>
      </w:pPr>
      <w:r>
        <w:rPr>
          <w:rFonts w:cs="Arial" w:ascii="Arial" w:hAnsi="Arial"/>
          <w:b/>
          <w:sz w:val="20"/>
          <w:u w:val="single"/>
        </w:rPr>
        <w:t>3. Payments/Early Termination</w:t>
      </w:r>
      <w:r>
        <w:rPr>
          <w:rFonts w:cs="Arial" w:ascii="Arial" w:hAnsi="Arial"/>
          <w:sz w:val="20"/>
        </w:rPr>
        <w:t xml:space="preserve">.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w:t>
      </w:r>
    </w:p>
    <w:p>
      <w:pPr>
        <w:pStyle w:val="NormalWeb"/>
        <w:ind w:firstLine="720" w:end="0"/>
        <w:rPr>
          <w:rFonts w:ascii="Arial" w:hAnsi="Arial" w:cs="Arial"/>
          <w:sz w:val="20"/>
          <w:szCs w:val="20"/>
        </w:rPr>
      </w:pPr>
      <w:r>
        <w:rPr>
          <w:rFonts w:cs="Arial" w:ascii="Arial" w:hAnsi="Arial"/>
          <w:sz w:val="20"/>
        </w:rPr>
        <w:t>If a party shall make an assignment or arrangement for the benefit of creditors, file a petition or commence, authorize or acquiesce in the commencement of a proceeding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ind w:firstLine="720" w:end="0"/>
        <w:jc w:val="both"/>
        <w:rPr>
          <w:rFonts w:ascii="Arial" w:hAnsi="Arial" w:cs="Arial"/>
          <w:sz w:val="20"/>
        </w:rPr>
      </w:pPr>
      <w:r>
        <w:rPr>
          <w:rFonts w:cs="Arial" w:ascii="Arial" w:hAnsi="Arial"/>
          <w:sz w:val="20"/>
        </w:rPr>
        <w:t>Upon the deemed designation of an early termination date, the non-defaulting party may, at is option and in its discretion, setoff, against any amounts owed or accrued and payable to the defaulting party by the non-defaulting party or any of its affiliates under this GTC or under any other agreement(s), instrument(s) or undertaking(s) (“Other Obligations”), any amounts owed by the defaulting party to the non-defaulting party or any of its affiliates under this GTC or under any Other Obligations; provided, such setoff will not create a charge or other security interest and is without prejudice and is in addition to any right of setoff, counterclaim, lien or other right to which any Party is at any time otherwise entitled (whether by operation of law, contract or otherwise).  The non-defaulting party will give the defaulting party notice of any setoff effected hereunder as soon as practicable after the setoff is effected provided that failure to give the notice shall not affect the validity of the setoff.  Notwithstanding any provision to the contrary contained in this GTC, the non-defaulting party shall not be required to pay to the defaulting party any amount until the non-defaulting party receives confirmation satisfactory to it in its reasonable discretion (which may include an opinion of its counsel) that all other obligations of any kind whatsoever of the defaulting party to make payments to the defaulting party or any of its affiliates under this GTC or under Other Obligations, which are owed or otherwise accrued and payable.</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Enron's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w:ascii="Arial" w:hAnsi="Arial"/>
          <w:b/>
          <w:sz w:val="20"/>
          <w:u w:val="single"/>
        </w:rPr>
        <w:t>8. 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jc w:val="both"/>
        <w:rPr/>
      </w:pPr>
      <w:r>
        <w:rPr>
          <w:rFonts w:cs="Arial" w:ascii="Arial" w:hAnsi="Arial"/>
          <w:b/>
          <w:sz w:val="20"/>
        </w:rPr>
        <w:t xml:space="preserve">10. </w:t>
      </w:r>
      <w:r>
        <w:rPr>
          <w:rFonts w:cs="Arial" w:ascii="Arial" w:hAnsi="Arial"/>
          <w:b/>
          <w:sz w:val="20"/>
          <w:u w:val="single"/>
        </w:rPr>
        <w:t>Securities Representation.</w:t>
      </w:r>
      <w:r>
        <w:rPr>
          <w:rFonts w:cs="Arial" w:ascii="Arial" w:hAnsi="Arial"/>
          <w:b/>
          <w:sz w:val="20"/>
        </w:rPr>
        <w:t xml:space="preserve"> </w:t>
      </w:r>
      <w:r>
        <w:rPr>
          <w:rFonts w:cs="Arial" w:ascii="Arial" w:hAnsi="Arial"/>
          <w:sz w:val="20"/>
        </w:rPr>
        <w:t xml:space="preserve">The following provision shall apply for those Transactions in which the Delivery Point(s) is located in Canada: </w:t>
      </w:r>
      <w:r>
        <w:rPr>
          <w:rFonts w:cs="Arial" w:ascii="Arial" w:hAnsi="Arial"/>
          <w:color w:val="000000"/>
          <w:sz w:val="20"/>
        </w:rPr>
        <w:t xml:space="preserve"> Each party represents to the other party that on the date a Transaction is entered into: (i) such Transaction shall constitute an "OTC Derivative" as defined in paragraph 4 of the Alberta Securities Commission Order Doc# 394043 and paragraph 1.1 of the British Columbia Securities Commission Blanket Order BOR#91-501 (BC), either of which may have application to such Transaction, and (ii) it is a "Qualified Party" within the meaning of paragraph 9.1 and 1.1 of such orders, respectively, as in effect on the date hereof.</w:t>
      </w:r>
      <w:r>
        <w:rPr>
          <w:rFonts w:cs="Arial" w:ascii="Arial" w:hAnsi="Arial"/>
          <w:b/>
          <w:sz w:val="20"/>
        </w:rPr>
        <w:t> </w:t>
      </w:r>
    </w:p>
    <w:p>
      <w:pPr>
        <w:pStyle w:val="Normal"/>
        <w:jc w:val="both"/>
        <w:rPr>
          <w:rFonts w:ascii="Arial" w:hAnsi="Arial" w:cs="Arial"/>
          <w:b/>
          <w:sz w:val="20"/>
        </w:rPr>
      </w:pPr>
      <w:r>
        <w:rPr>
          <w:rFonts w:cs="Arial" w:ascii="Arial" w:hAnsi="Arial"/>
          <w:b/>
          <w:sz w:val="20"/>
        </w:rPr>
        <w:t xml:space="preserve">11. </w:t>
      </w:r>
      <w:r>
        <w:rPr>
          <w:rFonts w:cs="Arial" w:ascii="Arial" w:hAnsi="Arial"/>
          <w:b/>
          <w:sz w:val="20"/>
          <w:u w:val="single"/>
        </w:rPr>
        <w:t>Collateral Arrangements.</w:t>
      </w:r>
      <w:r>
        <w:rPr>
          <w:rFonts w:cs="Arial" w:ascii="Arial" w:hAnsi="Arial"/>
          <w:b/>
          <w:sz w:val="20"/>
        </w:rPr>
        <w:t xml:space="preserve"> </w:t>
      </w:r>
      <w:r>
        <w:rPr>
          <w:rFonts w:cs="Arial" w:ascii="Arial" w:hAnsi="Arial"/>
          <w:sz w:val="20"/>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before="100" w:after="100"/>
        <w:jc w:val="both"/>
        <w:rPr>
          <w:rFonts w:ascii="Arial" w:hAnsi="Arial" w:cs="Arial"/>
          <w:b/>
          <w:sz w:val="20"/>
        </w:rPr>
      </w:pPr>
      <w:r>
        <w:rPr>
          <w:rFonts w:cs="Arial" w:ascii="Arial" w:hAnsi="Arial"/>
          <w:b/>
          <w:sz w:val="20"/>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NormalWeb">
    <w:name w:val="Normal (Web)"/>
    <w:basedOn w:val="Normal"/>
    <w:qFormat/>
    <w:pPr>
      <w:widowControl/>
      <w:spacing w:before="100" w:after="100"/>
    </w:pPr>
    <w:rPr>
      <w:szCs w:val="24"/>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2001-09-19T19:50:00Z</dcterms:created>
  <dc:creator>NEdmonds</dc:creator>
  <dc:description/>
  <dc:language>en-CA</dc:language>
  <cp:lastModifiedBy>tjones</cp:lastModifiedBy>
  <cp:lastPrinted>2001-09-18T16:17:00Z</cp:lastPrinted>
  <dcterms:modified xsi:type="dcterms:W3CDTF">2001-09-19T19:50:00Z</dcterms:modified>
  <cp:revision>2</cp:revision>
  <dc:subject/>
  <dc:title>ENA Natgas Spot GTC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