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r>
        <w:rPr>
          <w:sz w:val="20"/>
        </w:rPr>
        <w:t>Version 2 – October 17, 2001</w:t>
      </w:r>
    </w:p>
    <w:p>
      <w:pPr>
        <w:pStyle w:val="Normal"/>
        <w:jc w:val="center"/>
        <w:rPr>
          <w:rFonts w:ascii="Arial" w:hAnsi="Arial" w:cs="Arial"/>
          <w:b/>
          <w:sz w:val="20"/>
        </w:rPr>
      </w:pPr>
      <w:r>
        <w:rPr>
          <w:rFonts w:cs="Arial" w:ascii="Arial" w:hAnsi="Arial"/>
          <w:b/>
          <w:sz w:val="20"/>
        </w:rPr>
        <w:t>"SPOT" GENERAL TERMS &amp; CONDITIONS ("GTC")</w:t>
      </w:r>
    </w:p>
    <w:p>
      <w:pPr>
        <w:pStyle w:val="Normal"/>
        <w:jc w:val="both"/>
        <w:rPr/>
      </w:pPr>
      <w:r>
        <w:rPr>
          <w:rFonts w:cs="Arial" w:ascii="Arial" w:hAnsi="Arial"/>
          <w:b/>
          <w:sz w:val="20"/>
          <w:u w:val="single"/>
        </w:rPr>
        <w:t>1. Transactions</w:t>
      </w:r>
      <w:r>
        <w:rPr>
          <w:rFonts w:cs="Arial" w:ascii="Arial" w:hAnsi="Arial"/>
          <w:sz w:val="20"/>
        </w:rPr>
        <w:t xml:space="preserve">. The parties shall engage in Transactions in accordance with these terms and conditions and the terms, set forth in the website referencing this GTC, submitted by Counterparty and accepted by Enron North America Corp. All Transactions between the parties shall be considered a single integrated agreement governed by this GTC. </w:t>
      </w:r>
      <w:r>
        <w:rPr>
          <w:rFonts w:cs="Arial" w:ascii="Arial" w:hAnsi="Arial"/>
          <w:b/>
          <w:sz w:val="20"/>
        </w:rPr>
        <w:t xml:space="preserve">For those Transactions in which the Delivery Point(s) is located in Canada, such Transactions and the rights and duties of the parties arising herefrom shall be governed by the laws of the Province of Alberta and each party hereby submits to the non-exclusive jurisdiction of the courts of the Province of Alberta. For those Transactions in which the Delivery Point(s) is not located in Canada, such Transactions and the rights and duties of the parties arising herefrom shall be governed by the laws of the state of Texas. </w:t>
      </w:r>
      <w:r>
        <w:rPr>
          <w:rFonts w:cs="Arial" w:ascii="Arial" w:hAnsi="Arial"/>
          <w:sz w:val="20"/>
        </w:rPr>
        <w:t xml:space="preserve">The </w:t>
      </w:r>
      <w:r>
        <w:rPr>
          <w:rFonts w:cs="Arial" w:ascii="Arial" w:hAnsi="Arial"/>
          <w:b/>
          <w:sz w:val="20"/>
        </w:rPr>
        <w:t>DCQ</w:t>
      </w:r>
      <w:r>
        <w:rPr>
          <w:rFonts w:cs="Arial" w:ascii="Arial" w:hAnsi="Arial"/>
          <w:sz w:val="20"/>
        </w:rPr>
        <w:t xml:space="preserve"> shall be scheduled by </w:t>
      </w:r>
      <w:r>
        <w:rPr>
          <w:rFonts w:cs="Arial" w:ascii="Arial" w:hAnsi="Arial"/>
          <w:b/>
          <w:sz w:val="20"/>
        </w:rPr>
        <w:t xml:space="preserve">Seller </w:t>
      </w:r>
      <w:r>
        <w:rPr>
          <w:rFonts w:cs="Arial" w:ascii="Arial" w:hAnsi="Arial"/>
          <w:sz w:val="20"/>
        </w:rPr>
        <w:t xml:space="preserve">and </w:t>
      </w:r>
      <w:r>
        <w:rPr>
          <w:rFonts w:cs="Arial" w:ascii="Arial" w:hAnsi="Arial"/>
          <w:b/>
          <w:sz w:val="20"/>
        </w:rPr>
        <w:t xml:space="preserve">Buyer </w:t>
      </w:r>
      <w:r>
        <w:rPr>
          <w:rFonts w:cs="Arial" w:ascii="Arial" w:hAnsi="Arial"/>
          <w:sz w:val="20"/>
        </w:rPr>
        <w:t xml:space="preserve">at the </w:t>
      </w:r>
      <w:r>
        <w:rPr>
          <w:rFonts w:cs="Arial" w:ascii="Arial" w:hAnsi="Arial"/>
          <w:b/>
          <w:sz w:val="20"/>
        </w:rPr>
        <w:t>Delivery Point(s)</w:t>
      </w:r>
      <w:r>
        <w:rPr>
          <w:rFonts w:cs="Arial" w:ascii="Arial" w:hAnsi="Arial"/>
          <w:sz w:val="20"/>
        </w:rPr>
        <w:t xml:space="preserve"> during the </w:t>
      </w:r>
      <w:r>
        <w:rPr>
          <w:rFonts w:cs="Arial" w:ascii="Arial" w:hAnsi="Arial"/>
          <w:b/>
          <w:sz w:val="20"/>
        </w:rPr>
        <w:t>Period of Delivery</w:t>
      </w:r>
      <w:r>
        <w:rPr>
          <w:rFonts w:cs="Arial" w:ascii="Arial" w:hAnsi="Arial"/>
          <w:sz w:val="20"/>
        </w:rPr>
        <w:t xml:space="preserve"> and at the </w:t>
      </w:r>
      <w:r>
        <w:rPr>
          <w:rFonts w:cs="Arial" w:ascii="Arial" w:hAnsi="Arial"/>
          <w:b/>
          <w:sz w:val="20"/>
        </w:rPr>
        <w:t xml:space="preserve">Contract Price </w:t>
      </w:r>
      <w:r>
        <w:rPr>
          <w:rFonts w:cs="Arial" w:ascii="Arial" w:hAnsi="Arial"/>
          <w:sz w:val="20"/>
        </w:rPr>
        <w:t>as provided in each transaction. Each transaction shall indicate the "</w:t>
      </w:r>
      <w:r>
        <w:rPr>
          <w:rFonts w:cs="Arial" w:ascii="Arial" w:hAnsi="Arial"/>
          <w:sz w:val="20"/>
          <w:u w:val="single"/>
        </w:rPr>
        <w:t>Tier</w:t>
      </w:r>
      <w:r>
        <w:rPr>
          <w:rFonts w:cs="Arial" w:ascii="Arial" w:hAnsi="Arial"/>
          <w:sz w:val="20"/>
        </w:rPr>
        <w:t>" of gas applicable to the DCQ during the Period of Delivery:</w:t>
      </w:r>
    </w:p>
    <w:p>
      <w:pPr>
        <w:pStyle w:val="Normal"/>
        <w:jc w:val="both"/>
        <w:rPr/>
      </w:pPr>
      <w:r>
        <w:rPr>
          <w:rFonts w:cs="Arial" w:ascii="Arial" w:hAnsi="Arial"/>
          <w:sz w:val="20"/>
        </w:rPr>
        <w:t>"</w:t>
      </w:r>
      <w:r>
        <w:rPr>
          <w:rFonts w:cs="Arial" w:ascii="Arial" w:hAnsi="Arial"/>
          <w:b/>
          <w:sz w:val="20"/>
          <w:u w:val="single"/>
        </w:rPr>
        <w:t>Interruptible Gas</w:t>
      </w:r>
      <w:r>
        <w:rPr>
          <w:rFonts w:cs="Arial" w:ascii="Arial" w:hAnsi="Arial"/>
          <w:sz w:val="20"/>
        </w:rPr>
        <w:t>"--subject hereto, both parties may without liability interrupt, in whole or in part, scheduling the DCQ in accordance with the provisions hereof for any reason; or "</w:t>
      </w:r>
      <w:r>
        <w:rPr>
          <w:rFonts w:cs="Arial" w:ascii="Arial" w:hAnsi="Arial"/>
          <w:b/>
          <w:sz w:val="20"/>
          <w:u w:val="single"/>
        </w:rPr>
        <w:t>Firm Gas</w:t>
      </w:r>
      <w:r>
        <w:rPr>
          <w:rFonts w:cs="Arial" w:ascii="Arial" w:hAnsi="Arial"/>
          <w:sz w:val="20"/>
        </w:rPr>
        <w:t xml:space="preserve">"--subject hereto, both parties are firmly obligated to schedule the DCQ for a period less than or equal to one month. </w:t>
      </w:r>
    </w:p>
    <w:p>
      <w:pPr>
        <w:pStyle w:val="Normal"/>
        <w:jc w:val="both"/>
        <w:rPr/>
      </w:pPr>
      <w:r>
        <w:rPr>
          <w:rFonts w:cs="Arial" w:ascii="Arial" w:hAnsi="Arial"/>
          <w:b/>
          <w:sz w:val="20"/>
          <w:u w:val="single"/>
        </w:rPr>
        <w:t>2. Quantity Obligations</w:t>
      </w:r>
      <w:r>
        <w:rPr>
          <w:rFonts w:cs="Arial" w:ascii="Arial" w:hAnsi="Arial"/>
          <w:sz w:val="20"/>
        </w:rPr>
        <w:t>.</w:t>
      </w:r>
      <w:r>
        <w:rPr>
          <w:rFonts w:cs="Arial" w:ascii="Arial" w:hAnsi="Arial"/>
          <w:b/>
          <w:sz w:val="20"/>
        </w:rPr>
        <w:t xml:space="preserve"> </w:t>
      </w:r>
    </w:p>
    <w:p>
      <w:pPr>
        <w:pStyle w:val="Normal"/>
        <w:jc w:val="both"/>
        <w:rPr/>
      </w:pPr>
      <w:r>
        <w:rPr>
          <w:rFonts w:cs="Arial" w:ascii="Arial" w:hAnsi="Arial"/>
          <w:b/>
          <w:sz w:val="20"/>
          <w:u w:val="single"/>
        </w:rPr>
        <w:t>2.1. Tier 1 Interruptible Gas</w:t>
      </w:r>
      <w:r>
        <w:rPr>
          <w:rFonts w:cs="Arial" w:ascii="Arial" w:hAnsi="Arial"/>
          <w:sz w:val="20"/>
        </w:rPr>
        <w:t xml:space="preserve"> Seller and Buyer shall schedule at the Delivery Point(s) each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No notice of interruption may be retroactive to a prior time. </w:t>
      </w:r>
    </w:p>
    <w:p>
      <w:pPr>
        <w:pStyle w:val="Normal"/>
        <w:jc w:val="both"/>
        <w:rPr/>
      </w:pPr>
      <w:r>
        <w:rPr>
          <w:rFonts w:cs="Arial" w:ascii="Arial" w:hAnsi="Arial"/>
          <w:b/>
          <w:sz w:val="20"/>
          <w:u w:val="single"/>
        </w:rPr>
        <w:t>2.2. Interruption Without Notice</w:t>
      </w:r>
      <w:r>
        <w:rPr>
          <w:rFonts w:cs="Arial" w:ascii="Arial" w:hAnsi="Arial"/>
          <w:b/>
          <w:sz w:val="20"/>
        </w:rPr>
        <w:t xml:space="preserve"> </w:t>
      </w:r>
      <w:r>
        <w:rPr>
          <w:rFonts w:cs="Arial" w:ascii="Arial" w:hAnsi="Arial"/>
          <w:sz w:val="20"/>
        </w:rPr>
        <w:t xml:space="preserve">Should an interruption occur without the required notice, the interrupting party shall be liable for and pay all associated penalties and cashout costs and losses charged by either transporter. </w:t>
      </w:r>
    </w:p>
    <w:p>
      <w:pPr>
        <w:pStyle w:val="Normal"/>
        <w:jc w:val="both"/>
        <w:rPr/>
      </w:pPr>
      <w:r>
        <w:rPr>
          <w:rFonts w:cs="Arial" w:ascii="Arial" w:hAnsi="Arial"/>
          <w:b/>
          <w:sz w:val="20"/>
          <w:u w:val="single"/>
        </w:rPr>
        <w:t>2.3. Tier 3 Firm Gas</w:t>
      </w:r>
      <w:r>
        <w:rPr>
          <w:rFonts w:cs="Arial" w:ascii="Arial" w:hAnsi="Arial"/>
          <w:sz w:val="20"/>
        </w:rPr>
        <w:t xml:space="preserve"> Each of Seller and Buyer shall schedule at the Delivery Point(s) each day on a firm basis a quantity of gas equal to the DCQ. If on any day Seller fails to schedule the DCQ, then such occurrence shall constitute a "</w:t>
      </w:r>
      <w:r>
        <w:rPr>
          <w:rFonts w:cs="Arial" w:ascii="Arial" w:hAnsi="Arial"/>
          <w:sz w:val="20"/>
          <w:u w:val="single"/>
        </w:rPr>
        <w:t>Seller's Deficiency Default</w:t>
      </w:r>
      <w:r>
        <w:rPr>
          <w:rFonts w:cs="Arial" w:ascii="Arial" w:hAnsi="Arial"/>
          <w:sz w:val="20"/>
        </w:rPr>
        <w:t>" and "</w:t>
      </w:r>
      <w:r>
        <w:rPr>
          <w:rFonts w:cs="Arial" w:ascii="Arial" w:hAnsi="Arial"/>
          <w:sz w:val="20"/>
          <w:u w:val="single"/>
        </w:rPr>
        <w:t>Seller's Deficiency Quantity</w:t>
      </w:r>
      <w:r>
        <w:rPr>
          <w:rFonts w:cs="Arial" w:ascii="Arial" w:hAnsi="Arial"/>
          <w:sz w:val="20"/>
        </w:rPr>
        <w:t>" shall be the numerical difference between the DCQ and the quantity of gas scheduled for such day. In the event of a Seller's Deficiency Default, Seller shall pay Buyer an amount equal to the product of the Seller's Deficiency Quantity multiplied by the Replacement Price Differential. If on any day Buyer fails to schedule the DCQ, then such occurrence shall constitute a "</w:t>
      </w:r>
      <w:r>
        <w:rPr>
          <w:rFonts w:cs="Arial" w:ascii="Arial" w:hAnsi="Arial"/>
          <w:sz w:val="20"/>
          <w:u w:val="single"/>
        </w:rPr>
        <w:t>Buyer's Deficiency Default</w:t>
      </w:r>
      <w:r>
        <w:rPr>
          <w:rFonts w:cs="Arial" w:ascii="Arial" w:hAnsi="Arial"/>
          <w:sz w:val="20"/>
        </w:rPr>
        <w:t>" and "</w:t>
      </w:r>
      <w:r>
        <w:rPr>
          <w:rFonts w:cs="Arial" w:ascii="Arial" w:hAnsi="Arial"/>
          <w:sz w:val="20"/>
          <w:u w:val="single"/>
        </w:rPr>
        <w:t>Buyer's Deficiency Quantity</w:t>
      </w:r>
      <w:r>
        <w:rPr>
          <w:rFonts w:cs="Arial" w:ascii="Arial" w:hAnsi="Arial"/>
          <w:sz w:val="20"/>
        </w:rPr>
        <w:t>" shall be the numerical difference between the DCQ and the quantity of gas scheduled for such day. In the event of a Buyer's Deficiency Default, Buyer shall pay Seller an amount equal to the product of Buyer's Deficiency Quantity multiplied by the Replacement Price Differential. "</w:t>
      </w:r>
      <w:r>
        <w:rPr>
          <w:rFonts w:cs="Arial" w:ascii="Arial" w:hAnsi="Arial"/>
          <w:sz w:val="20"/>
          <w:u w:val="single"/>
        </w:rPr>
        <w:t>Replacement Price Differential</w:t>
      </w:r>
      <w:r>
        <w:rPr>
          <w:rFonts w:cs="Arial" w:ascii="Arial" w:hAnsi="Arial"/>
          <w:sz w:val="20"/>
        </w:rPr>
        <w:t xml:space="preserve">" means (i) in the event of a Seller's Deficiency Default, the positive difference, if any, obtained by subtracting the Contract Price </w:t>
      </w:r>
      <w:r>
        <w:rPr>
          <w:rFonts w:cs="Arial" w:ascii="Arial" w:hAnsi="Arial"/>
          <w:sz w:val="20"/>
          <w:u w:val="single"/>
        </w:rPr>
        <w:t>from</w:t>
      </w:r>
      <w:r>
        <w:rPr>
          <w:rFonts w:cs="Arial" w:ascii="Arial" w:hAnsi="Arial"/>
          <w:sz w:val="20"/>
        </w:rPr>
        <w:t xml:space="preserve"> the Spot Price for the day in which the default occurred and (ii) in the event of a Buyer's Deficiency Default, the positive difference, if any, obtained by subtracting the Spot Price for the day in which the default occurred </w:t>
      </w:r>
      <w:r>
        <w:rPr>
          <w:rFonts w:cs="Arial" w:ascii="Arial" w:hAnsi="Arial"/>
          <w:sz w:val="20"/>
          <w:u w:val="single"/>
        </w:rPr>
        <w:t>from</w:t>
      </w:r>
      <w:r>
        <w:rPr>
          <w:rFonts w:cs="Arial" w:ascii="Arial" w:hAnsi="Arial"/>
          <w:sz w:val="20"/>
        </w:rPr>
        <w:t xml:space="preserve"> the Contract Price. "</w:t>
      </w:r>
      <w:r>
        <w:rPr>
          <w:rFonts w:cs="Arial" w:ascii="Arial" w:hAnsi="Arial"/>
          <w:sz w:val="20"/>
          <w:u w:val="single"/>
        </w:rPr>
        <w:t>Spot Price</w:t>
      </w:r>
      <w:r>
        <w:rPr>
          <w:rFonts w:cs="Arial" w:ascii="Arial" w:hAnsi="Arial"/>
          <w:sz w:val="20"/>
        </w:rPr>
        <w:t xml:space="preserve">" means the "Daily Midpoint" price set forth in </w:t>
      </w:r>
      <w:r>
        <w:rPr>
          <w:rFonts w:cs="Arial" w:ascii="Arial" w:hAnsi="Arial"/>
          <w:sz w:val="20"/>
          <w:u w:val="single"/>
        </w:rPr>
        <w:t>Gas Daily</w:t>
      </w:r>
      <w:r>
        <w:rPr>
          <w:rFonts w:cs="Arial" w:ascii="Arial" w:hAnsi="Arial"/>
          <w:sz w:val="20"/>
        </w:rPr>
        <w:t>® (Platts),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Web"/>
        <w:rPr/>
      </w:pPr>
      <w:r>
        <w:rPr>
          <w:rFonts w:cs="Arial" w:ascii="Arial" w:hAnsi="Arial"/>
          <w:b/>
          <w:sz w:val="20"/>
          <w:u w:val="single"/>
        </w:rPr>
        <w:t>3. Payments/Early Termination</w:t>
      </w:r>
      <w:r>
        <w:rPr>
          <w:rFonts w:cs="Arial" w:ascii="Arial" w:hAnsi="Arial"/>
          <w:sz w:val="20"/>
        </w:rPr>
        <w:t xml:space="preserve">. By the 10th day of each month following the month in which gas was scheduled, Seller shall provide Buyer a written statement covering the preceding month. Billing and payment will be based on scheduled quantities; provided, if gas is transported by an intrastate transporter same will be based on actual receipts and deliveries. Within 10 days of the request of either party, the other party shall provide, to the extent it has a legal right of access thereto or such statement is then available, a copy of the transporter's allocation statement applicable to gas sold hereunder for the requested period. All amounts payable under this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hereby governed may be offset or recouped against each other, or netted for payment. </w:t>
      </w:r>
    </w:p>
    <w:p>
      <w:pPr>
        <w:pStyle w:val="NormalWeb"/>
        <w:ind w:firstLine="720" w:end="0"/>
        <w:rPr>
          <w:rFonts w:ascii="Arial" w:hAnsi="Arial" w:cs="Arial"/>
          <w:sz w:val="20"/>
          <w:szCs w:val="20"/>
        </w:rPr>
      </w:pPr>
      <w:r>
        <w:rPr>
          <w:rFonts w:cs="Arial" w:ascii="Arial" w:hAnsi="Arial"/>
          <w:sz w:val="20"/>
        </w:rPr>
        <w:t>If a party (the “</w:t>
      </w:r>
      <w:r>
        <w:rPr>
          <w:rFonts w:cs="Arial" w:ascii="Arial" w:hAnsi="Arial"/>
          <w:sz w:val="20"/>
          <w:u w:val="single"/>
        </w:rPr>
        <w:t>Affected Party</w:t>
      </w:r>
      <w:r>
        <w:rPr>
          <w:rFonts w:cs="Arial" w:ascii="Arial" w:hAnsi="Arial"/>
          <w:sz w:val="20"/>
        </w:rPr>
        <w:t>”) shall make an assignment or arrangement for the benefit of creditors, file a petition or commence, authorize or acquiesce in the commencement of a proceeding under any bankruptcy or similar law, or have such petition filed against it, otherwise become bankrupt or insolvent, or be unable to pay its debts as due, then the other party (the “</w:t>
      </w:r>
      <w:r>
        <w:rPr>
          <w:rFonts w:cs="Arial" w:ascii="Arial" w:hAnsi="Arial"/>
          <w:sz w:val="20"/>
          <w:u w:val="single"/>
        </w:rPr>
        <w:t>Notifying Party</w:t>
      </w:r>
      <w:r>
        <w:rPr>
          <w:rFonts w:cs="Arial" w:ascii="Arial" w:hAnsi="Arial"/>
          <w:sz w:val="20"/>
        </w:rPr>
        <w:t>”) may upon three days written notice to the Affected Party establish a date on which all Transactions governed by this GTC will terminate (the “</w:t>
      </w:r>
      <w:r>
        <w:rPr>
          <w:rFonts w:cs="Arial" w:ascii="Arial" w:hAnsi="Arial"/>
          <w:sz w:val="20"/>
          <w:u w:val="single"/>
        </w:rPr>
        <w:t>Early Termination Date</w:t>
      </w:r>
      <w:r>
        <w:rPr>
          <w:rFonts w:cs="Arial" w:ascii="Arial" w:hAnsi="Arial"/>
          <w:sz w:val="20"/>
        </w:rPr>
        <w:t>”).  The Notifying Party shall calculate its damages, including associated costs and attorneys’ fees, in respect of each transaction as if no further scheduling of gas will occur and net same against each other; the resulting net amount, if positive, being immediately due and payable to the Notifying Party.</w:t>
      </w:r>
    </w:p>
    <w:p>
      <w:pPr>
        <w:pStyle w:val="Normal"/>
        <w:ind w:firstLine="720" w:end="0"/>
        <w:jc w:val="both"/>
        <w:rPr>
          <w:rFonts w:ascii="Arial" w:hAnsi="Arial" w:cs="Arial"/>
          <w:sz w:val="20"/>
        </w:rPr>
      </w:pPr>
      <w:r>
        <w:rPr>
          <w:rFonts w:cs="Arial" w:ascii="Arial" w:hAnsi="Arial"/>
          <w:sz w:val="20"/>
        </w:rPr>
        <w:t>Upon the designation of an Early Termination Date, the Notifying Party may, at is option and in its discretion, setoff, against any amounts owed or accrued and payable to the Affected Party by the Notifying Party or any of its affiliates under this GTC or under any other agreement(s), instrument(s) or undertaking(s) (“</w:t>
      </w:r>
      <w:r>
        <w:rPr>
          <w:rFonts w:cs="Arial" w:ascii="Arial" w:hAnsi="Arial"/>
          <w:sz w:val="20"/>
          <w:u w:val="single"/>
        </w:rPr>
        <w:t>Other</w:t>
      </w:r>
      <w:r>
        <w:rPr>
          <w:rFonts w:cs="Arial" w:ascii="Arial" w:hAnsi="Arial"/>
          <w:sz w:val="20"/>
        </w:rPr>
        <w:t xml:space="preserve"> </w:t>
      </w:r>
      <w:r>
        <w:rPr>
          <w:rFonts w:cs="Arial" w:ascii="Arial" w:hAnsi="Arial"/>
          <w:sz w:val="20"/>
          <w:u w:val="single"/>
        </w:rPr>
        <w:t>Obligations</w:t>
      </w:r>
      <w:r>
        <w:rPr>
          <w:rFonts w:cs="Arial" w:ascii="Arial" w:hAnsi="Arial"/>
          <w:sz w:val="20"/>
        </w:rPr>
        <w:t>”), any amounts owed by the Affected Party to the Notifying Party or any of its affiliates under this GTC or under any Other Obligations; provided, such setoff will not create a charge or other security interest and is without prejudice and is in addition to any right of setoff, counterclaim, lien or other right to which any party is at any time otherwise entitled (whether by operation of law, contract or otherwise).  The Notifying Party will give the Affected Party notice of any setoff effected hereunder as soon as practicable after the setoff is effected provided that failure to give the notice shall not affect the validity of the setoff.  The parties represent and acknowledge that the rights set forth in this section are an integral part of the agreement between the parties and that without such rights the parties would not be willing to enter into the transactions.  The parties further acknowledge that each is executing this GTC on behalf of itself as principal and, with respect to this section, as agent on behalf of its affiliates, which affiliates shall receive the benefits of this section and otherwise be bound as if such affiliates had entered into this GTC as it relates to this section.  Notwithstanding any provision to the contrary contained in this GTC, the Notifying Party shall not be required to pay to the Affected Party any amount until the Notifying Party receives confirmation satisfactory to it in its reasonable discretion (which may include an opinion of its counsel) that all other obligations of any kind whatsoever of the Affected Party to make payments to the Affected Party or any of its affiliates under this GTC or under Other Obligations, which are owed or otherwise accrued and payable.</w:t>
      </w:r>
    </w:p>
    <w:p>
      <w:pPr>
        <w:pStyle w:val="Normal"/>
        <w:jc w:val="both"/>
        <w:rPr/>
      </w:pPr>
      <w:r>
        <w:rPr>
          <w:rFonts w:cs="Arial" w:ascii="Arial" w:hAnsi="Arial"/>
          <w:b/>
          <w:sz w:val="20"/>
          <w:u w:val="single"/>
        </w:rPr>
        <w:t>4. Force Majeure</w:t>
      </w:r>
      <w:r>
        <w:rPr>
          <w:rFonts w:cs="Arial" w:ascii="Arial" w:hAnsi="Arial"/>
          <w:sz w:val="20"/>
        </w:rPr>
        <w:t>.</w:t>
      </w:r>
      <w:r>
        <w:rPr>
          <w:rFonts w:cs="Arial" w:ascii="Arial" w:hAnsi="Arial"/>
          <w:b/>
          <w:sz w:val="20"/>
        </w:rPr>
        <w:t xml:space="preserve"> </w:t>
      </w:r>
      <w:r>
        <w:rPr>
          <w:rFonts w:cs="Arial" w:ascii="Arial" w:hAnsi="Arial"/>
          <w:sz w:val="20"/>
        </w:rPr>
        <w:t xml:space="preserve">In the event either party is rendered unable, wholly or in part, by </w:t>
      </w:r>
      <w:r>
        <w:rPr>
          <w:rFonts w:cs="Arial" w:ascii="Arial" w:hAnsi="Arial"/>
          <w:sz w:val="20"/>
          <w:u w:val="single"/>
        </w:rPr>
        <w:t>Force Majeure</w:t>
      </w:r>
      <w:r>
        <w:rPr>
          <w:rFonts w:cs="Arial" w:ascii="Arial" w:hAnsi="Arial"/>
          <w:sz w:val="20"/>
        </w:rPr>
        <w:t xml:space="preserve"> to carry out its obligations, other than payment, it is agreed that upon such party's giving notice of such </w:t>
      </w:r>
      <w:r>
        <w:rPr>
          <w:rFonts w:cs="Arial" w:ascii="Arial" w:hAnsi="Arial"/>
          <w:sz w:val="20"/>
          <w:u w:val="single"/>
        </w:rPr>
        <w:t>Force Majeure</w:t>
      </w:r>
      <w:r>
        <w:rPr>
          <w:rFonts w:cs="Arial" w:ascii="Arial" w:hAnsi="Arial"/>
          <w:sz w:val="20"/>
        </w:rPr>
        <w:t xml:space="preserve"> to the other party, the obligations of the party giving such notice, to the extent affected by such event, shall be suspended from the inception and during the continuance of the </w:t>
      </w:r>
      <w:r>
        <w:rPr>
          <w:rFonts w:cs="Arial" w:ascii="Arial" w:hAnsi="Arial"/>
          <w:sz w:val="20"/>
          <w:u w:val="single"/>
        </w:rPr>
        <w:t>Force Majeure</w:t>
      </w:r>
      <w:r>
        <w:rPr>
          <w:rFonts w:cs="Arial" w:ascii="Arial" w:hAnsi="Arial"/>
          <w:sz w:val="20"/>
        </w:rPr>
        <w:t>. "</w:t>
      </w:r>
      <w:r>
        <w:rPr>
          <w:rFonts w:cs="Arial" w:ascii="Arial" w:hAnsi="Arial"/>
          <w:b/>
          <w:i/>
          <w:sz w:val="20"/>
          <w:u w:val="single"/>
        </w:rPr>
        <w:t>Force Majeure</w:t>
      </w:r>
      <w:r>
        <w:rPr>
          <w:rFonts w:cs="Arial" w:ascii="Arial" w:hAnsi="Arial"/>
          <w:sz w:val="20"/>
        </w:rPr>
        <w:t xml:space="preserve">" means an event not anticipated as of the transaction date,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w:ascii="Arial" w:hAnsi="Arial"/>
          <w:sz w:val="20"/>
          <w:u w:val="single"/>
        </w:rPr>
        <w:t>Force Majeure</w:t>
      </w:r>
      <w:r>
        <w:rPr>
          <w:rFonts w:cs="Arial" w:ascii="Arial" w:hAnsi="Arial"/>
          <w:sz w:val="20"/>
        </w:rPr>
        <w:t>. "</w:t>
      </w:r>
      <w:r>
        <w:rPr>
          <w:rFonts w:cs="Arial" w:ascii="Arial" w:hAnsi="Arial"/>
          <w:sz w:val="20"/>
          <w:u w:val="single"/>
        </w:rPr>
        <w:t>Force Majeure</w:t>
      </w:r>
      <w:r>
        <w:rPr>
          <w:rFonts w:cs="Arial" w:ascii="Arial" w:hAnsi="Arial"/>
          <w:sz w:val="20"/>
        </w:rPr>
        <w:t xml:space="preserve">" shall include an event of </w:t>
      </w:r>
      <w:r>
        <w:rPr>
          <w:rFonts w:cs="Arial" w:ascii="Arial" w:hAnsi="Arial"/>
          <w:sz w:val="20"/>
          <w:u w:val="single"/>
        </w:rPr>
        <w:t>Force Majeure</w:t>
      </w:r>
      <w:r>
        <w:rPr>
          <w:rFonts w:cs="Arial" w:ascii="Arial" w:hAnsi="Arial"/>
          <w:sz w:val="20"/>
        </w:rPr>
        <w:t xml:space="preserve"> occurring with respect to the services of transporters.</w:t>
      </w:r>
    </w:p>
    <w:p>
      <w:pPr>
        <w:pStyle w:val="Normal"/>
        <w:jc w:val="both"/>
        <w:rPr/>
      </w:pPr>
      <w:r>
        <w:rPr>
          <w:rFonts w:cs="Arial" w:ascii="Arial" w:hAnsi="Arial"/>
          <w:b/>
          <w:sz w:val="20"/>
          <w:u w:val="single"/>
        </w:rPr>
        <w:t>5. Taxes</w:t>
      </w:r>
      <w:r>
        <w:rPr>
          <w:rFonts w:cs="Arial" w:ascii="Arial" w:hAnsi="Arial"/>
          <w:sz w:val="20"/>
        </w:rPr>
        <w:t xml:space="preserve">. The Contract Price includes reimbursement for, and Seller shall pay, or reimburse Buyer for, all taxes applicable to the gas sold upstream of the Delivery Point(s). Seller shall indemnify, defend and hold harmless Buyer from claims for such taxes. The Contract Price does not include reimbursement for, and Buyer shall pay, or reimburse Seller for, all taxes applicable to the gas sold downstream of or at the Delivery Point(s). Buyer shall indemnify, defend and hold harmless Seller from claims for such taxes. </w:t>
      </w:r>
    </w:p>
    <w:p>
      <w:pPr>
        <w:pStyle w:val="Normal"/>
        <w:jc w:val="both"/>
        <w:rPr/>
      </w:pPr>
      <w:r>
        <w:rPr>
          <w:rFonts w:cs="Arial" w:ascii="Arial" w:hAnsi="Arial"/>
          <w:b/>
          <w:sz w:val="20"/>
          <w:u w:val="single"/>
        </w:rPr>
        <w:t>6. Title/Risk of Loss/Imbalances</w:t>
      </w:r>
      <w:r>
        <w:rPr>
          <w:rFonts w:cs="Arial" w:ascii="Arial" w:hAnsi="Arial"/>
          <w:sz w:val="20"/>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death of persons, arising from any act or incident occurring when title to gas is vested in the indemnifying party. 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w:ascii="Arial" w:hAnsi="Arial"/>
          <w:b/>
          <w:sz w:val="20"/>
        </w:rPr>
        <w:t xml:space="preserve">. </w:t>
      </w:r>
      <w:r>
        <w:rPr>
          <w:rFonts w:cs="Arial" w:ascii="Arial" w:hAnsi="Arial"/>
          <w:sz w:val="20"/>
        </w:rPr>
        <w:t xml:space="preserve">Differences between scheduled and actual quantities will be settled in cash or gas or by offset as agreed. </w:t>
      </w:r>
    </w:p>
    <w:p>
      <w:pPr>
        <w:pStyle w:val="Normal"/>
        <w:jc w:val="both"/>
        <w:rPr/>
      </w:pPr>
      <w:r>
        <w:rPr>
          <w:rFonts w:cs="Arial" w:ascii="Arial" w:hAnsi="Arial"/>
          <w:b/>
          <w:sz w:val="20"/>
          <w:u w:val="single"/>
        </w:rPr>
        <w:t>7. Operations</w:t>
      </w:r>
      <w:r>
        <w:rPr>
          <w:rFonts w:cs="Arial" w:ascii="Arial" w:hAnsi="Arial"/>
          <w:sz w:val="20"/>
        </w:rPr>
        <w:t xml:space="preserve">. Should either party change the quantities to be scheduled from the DCQ, with respect to Tier 1 Interruptible Gas, such party shall provide to the other Party facsimile notice of interruption in accordance with the requirements of </w:t>
      </w:r>
      <w:r>
        <w:rPr>
          <w:rFonts w:cs="Arial" w:ascii="Arial" w:hAnsi="Arial"/>
          <w:sz w:val="20"/>
          <w:u w:val="single"/>
        </w:rPr>
        <w:t>Section 2</w:t>
      </w:r>
      <w:r>
        <w:rPr>
          <w:rFonts w:cs="Arial" w:ascii="Arial" w:hAnsi="Arial"/>
          <w:sz w:val="20"/>
        </w:rPr>
        <w:t xml:space="preserve">, and with respect to Tier 3 Firm Gas, such party (without affecting its liability under </w:t>
      </w:r>
      <w:r>
        <w:rPr>
          <w:rFonts w:cs="Arial" w:ascii="Arial" w:hAnsi="Arial"/>
          <w:sz w:val="20"/>
          <w:u w:val="single"/>
        </w:rPr>
        <w:t>Section 2</w:t>
      </w:r>
      <w:r>
        <w:rPr>
          <w:rFonts w:cs="Arial" w:ascii="Arial" w:hAnsi="Arial"/>
          <w:sz w:val="20"/>
        </w:rPr>
        <w:t xml:space="preserve">) shall provide to the other party facsimile notice thereof not later than one business day prior to the earlier of Buyer's or Seller's transporter's nomination deadline for the applicable day. Nothing in this GTC, including an event of </w:t>
      </w:r>
      <w:r>
        <w:rPr>
          <w:rFonts w:cs="Arial" w:ascii="Arial" w:hAnsi="Arial"/>
          <w:sz w:val="20"/>
          <w:u w:val="single"/>
        </w:rPr>
        <w:t>Force Majeure</w:t>
      </w:r>
      <w:r>
        <w:rPr>
          <w:rFonts w:cs="Arial" w:ascii="Arial" w:hAnsi="Arial"/>
          <w:sz w:val="20"/>
        </w:rPr>
        <w:t>, shall require or permit either party to schedule gas at a point other than a Delivery Point or in excess of the DCQ. Seller shall obtain transportation to the Delivery Point, and Buyer shall obtain transportation from the Delivery Point. Seller represents and warrants that all gas delivered hereunder shall meet or exceed the specifications of Buyer's transporter. At appropriate intervals Enron's transporter shall measure gas purchased and sold hereunder. If either party receives an operational flow order from a transporter requiring action to be taken in connection with a transaction ("</w:t>
      </w:r>
      <w:r>
        <w:rPr>
          <w:rFonts w:cs="Arial" w:ascii="Arial" w:hAnsi="Arial"/>
          <w:sz w:val="20"/>
          <w:u w:val="single"/>
        </w:rPr>
        <w:t>OFO</w:t>
      </w:r>
      <w:r>
        <w:rPr>
          <w:rFonts w:cs="Arial" w:ascii="Arial" w:hAnsi="Arial"/>
          <w:sz w:val="20"/>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of which the indemnifying party failed to give the indemnified party the notice required hereunder or under which the indemnifying party failed to take timely action required by the OFO.</w:t>
      </w:r>
    </w:p>
    <w:p>
      <w:pPr>
        <w:pStyle w:val="Normal"/>
        <w:jc w:val="both"/>
        <w:rPr>
          <w:rFonts w:ascii="Arial" w:hAnsi="Arial" w:cs="Arial"/>
          <w:sz w:val="20"/>
        </w:rPr>
      </w:pPr>
      <w:r>
        <w:rPr>
          <w:rFonts w:cs="Arial" w:ascii="Arial" w:hAnsi="Arial"/>
          <w:b/>
          <w:sz w:val="20"/>
          <w:u w:val="single"/>
        </w:rPr>
        <w:t>8. Arbitration.</w:t>
      </w:r>
      <w:r>
        <w:rPr>
          <w:rFonts w:cs="Arial" w:ascii="Arial" w:hAnsi="Arial"/>
          <w:sz w:val="20"/>
        </w:rPr>
        <w:t xml:space="preserve"> </w:t>
      </w:r>
      <w:r>
        <w:rPr>
          <w:rFonts w:cs="Arial" w:ascii="Arial" w:hAnsi="Arial"/>
          <w:b/>
          <w:bCs/>
          <w:sz w:val="20"/>
          <w:u w:val="single"/>
        </w:rPr>
        <w:t>.</w:t>
      </w:r>
      <w:r>
        <w:rPr>
          <w:rFonts w:cs="Arial" w:ascii="Arial" w:hAnsi="Arial"/>
          <w:sz w:val="20"/>
        </w:rPr>
        <w:t xml:space="preserve"> Any dispute relating to this Agreement shall be resolved by binding, self-administered arbitration pursuant to the Commercial Arbitration Rules of the American Arbitration Association </w:t>
      </w:r>
      <w:r>
        <w:rPr>
          <w:rFonts w:cs="Arial" w:ascii="Arial" w:hAnsi="Arial"/>
          <w:sz w:val="20"/>
          <w:u w:val="single"/>
        </w:rPr>
        <w:t>("AAA")</w:t>
      </w:r>
      <w:r>
        <w:rPr>
          <w:rFonts w:cs="Arial" w:ascii="Arial" w:hAnsi="Arial"/>
          <w:sz w:val="20"/>
        </w:rPr>
        <w:t xml:space="preserve">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AAA.  Only damages allowed pursuant to this Agreement may be awarded and the arbitrator shall have no authority to award treble, exemplary or punitive damages of any type under any circumstances regardless of whether such damages may be available under Texas law or under the laws of the Province of Alberta for those Transactions in which the Delivery Point(s) is located in Canada</w:t>
      </w:r>
    </w:p>
    <w:p>
      <w:pPr>
        <w:pStyle w:val="Normal"/>
        <w:jc w:val="both"/>
        <w:rPr/>
      </w:pPr>
      <w:r>
        <w:rPr>
          <w:rFonts w:cs="Arial" w:ascii="Arial" w:hAnsi="Arial"/>
          <w:b/>
          <w:sz w:val="20"/>
          <w:u w:val="single"/>
        </w:rPr>
        <w:t>9. Damages</w:t>
      </w:r>
      <w:r>
        <w:rPr>
          <w:rFonts w:cs="Arial" w:ascii="Arial" w:hAnsi="Arial"/>
          <w:sz w:val="20"/>
        </w:rPr>
        <w:t>.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 IS" AND "WITH ALL FAULTS."</w:t>
      </w:r>
    </w:p>
    <w:p>
      <w:pPr>
        <w:pStyle w:val="Normal"/>
        <w:spacing w:before="100" w:after="100"/>
        <w:jc w:val="both"/>
        <w:rPr/>
      </w:pPr>
      <w:r>
        <w:rPr>
          <w:rFonts w:cs="Arial" w:ascii="Arial" w:hAnsi="Arial"/>
          <w:b/>
          <w:sz w:val="20"/>
        </w:rPr>
        <w:t xml:space="preserve">10. </w:t>
      </w:r>
      <w:r>
        <w:rPr>
          <w:rFonts w:cs="Arial" w:ascii="Arial" w:hAnsi="Arial"/>
          <w:b/>
          <w:sz w:val="20"/>
          <w:u w:val="single"/>
        </w:rPr>
        <w:t>Securities Representation.</w:t>
      </w:r>
      <w:r>
        <w:rPr>
          <w:rFonts w:cs="Arial" w:ascii="Arial" w:hAnsi="Arial"/>
          <w:b/>
          <w:sz w:val="20"/>
        </w:rPr>
        <w:t xml:space="preserve"> </w:t>
      </w:r>
      <w:r>
        <w:rPr>
          <w:rFonts w:cs="Arial" w:ascii="Arial" w:hAnsi="Arial"/>
          <w:sz w:val="20"/>
        </w:rPr>
        <w:t xml:space="preserve">The following provision shall apply for those Transactions in which the Delivery Point(s) is located in Canada: </w:t>
      </w:r>
      <w:r>
        <w:rPr>
          <w:rFonts w:cs="Arial" w:ascii="Arial" w:hAnsi="Arial"/>
          <w:color w:val="000000"/>
          <w:sz w:val="20"/>
        </w:rPr>
        <w:t xml:space="preserve"> Each party represents to the other party that on the date a Transaction is entered into: (i) such Transaction shall constitute an "OTC Derivative" as defined in paragraph 4 of the Alberta Securities Commission Order Doc# 394043 and paragraph 1.1 of the British Columbia Securities Commission Blanket Order BOR#91-501 (BC), either of which may have application to such Transaction, and (ii) it is a "Qualified Party" within the meaning of paragraph 9.1 and 1.1 of such orders, respectively, as in effect on the date hereof.</w:t>
      </w:r>
      <w:r>
        <w:rPr>
          <w:rFonts w:cs="Arial" w:ascii="Arial" w:hAnsi="Arial"/>
          <w:b/>
          <w:sz w:val="20"/>
        </w:rPr>
        <w:t> </w:t>
      </w:r>
    </w:p>
    <w:sectPr>
      <w:footerReference w:type="default" r:id="rId2"/>
      <w:type w:val="nextPage"/>
      <w:pgSz w:w="11906" w:h="16838"/>
      <w:pgMar w:left="1273" w:right="1273" w:gutter="0" w:header="0" w:top="1417"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pPr>
    <w:r>
      <w:rPr/>
      <w:t>Spot Version 2 Without Collateral</w:t>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bidi="ar-SA" w:eastAsia="zh-C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bidi="ar-SA" w:eastAsia="zh-CN"/>
    </w:rPr>
  </w:style>
  <w:style w:type="paragraph" w:styleId="NormalWeb">
    <w:name w:val="Normal (Web)"/>
    <w:basedOn w:val="Normal"/>
    <w:qFormat/>
    <w:pPr>
      <w:widowControl/>
      <w:spacing w:before="100" w:after="100"/>
    </w:pPr>
    <w:rPr>
      <w:szCs w:val="24"/>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1999-10-14T18:44:00Z</dcterms:created>
  <dc:creator>NEdmonds</dc:creator>
  <dc:description/>
  <dc:language>en-CA</dc:language>
  <cp:lastModifiedBy>sdickso</cp:lastModifiedBy>
  <cp:lastPrinted>2001-10-17T16:39:00Z</cp:lastPrinted>
  <dcterms:modified xsi:type="dcterms:W3CDTF">2001-10-17T19:10:00Z</dcterms:modified>
  <cp:revision>13</cp:revision>
  <dc:subject/>
  <dc:title>ENA Natgas Spot GTC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