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November 6,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Split Rock Energy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pPr>
            <w:r>
              <w:rPr>
                <w:sz w:val="20"/>
              </w:rPr>
              <w:t>Street: 301 – 4</w:t>
            </w:r>
            <w:r>
              <w:rPr>
                <w:sz w:val="20"/>
                <w:vertAlign w:val="superscript"/>
              </w:rPr>
              <w:t>th</w:t>
            </w:r>
            <w:r>
              <w:rPr>
                <w:sz w:val="20"/>
              </w:rPr>
              <w:t xml:space="preserve"> Ave South, Suite 860N</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Minneapolis, MN</w:t>
              <w:tab/>
              <w:t>Zip: 55415</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(612) 332-1523</w:t>
              <w:br/>
              <w:t>Facsimile: (612) 332-2893</w:t>
              <w:br/>
              <w:t>Duns: 11 161 4553</w:t>
              <w:br/>
              <w:t>Federal Tax ID Number: 41-1967145</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Split Rock Energy LLC</w:t>
              <w:br/>
              <w:t>Attn: Accounts Payable</w:t>
              <w:br/>
              <w:t>30 W. Superior St.</w:t>
              <w:br/>
              <w:t>Duluth, MN  55802</w:t>
              <w:br/>
              <w:t>Phone: (218) 722-5642, ext. 3493</w:t>
              <w:br/>
              <w:t>Facsimile:  (218) 723-3911</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Power Traders</w:t>
              <w:br/>
              <w:t>Phone: (612) 332-3699</w:t>
              <w:br/>
              <w:t>Facsimile: (612) 332-1502</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Payments:</w:t>
            </w:r>
            <w:r>
              <w:rPr>
                <w:sz w:val="20"/>
              </w:rPr>
              <w:br/>
              <w:t>Split Rock Energy LLC</w:t>
              <w:br/>
              <w:t>Attn: Accounts Receivable</w:t>
              <w:br/>
              <w:t>30 W. Superior St.</w:t>
              <w:br/>
              <w:t>Duluth, MN  55802</w:t>
              <w:br/>
              <w:t>Phone:  (218) 722-5642, ext. 3493</w:t>
              <w:br/>
              <w:t>Facsimile:  (218) 723-3911</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Wells Fargo Bank NA – Mpls, MN for Split Rock</w:t>
              <w:br/>
              <w:t>Energy LLC</w:t>
              <w:br/>
              <w:t>ABA: 091 000 019</w:t>
              <w:br/>
              <w:t>ACCT: 040 173 2789</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 xml:space="preserve">Attn: Cash Management </w:t>
              <w:br/>
              <w:t>Phone: (218) 723-3908</w:t>
              <w:br/>
              <w:t>Facsimile: (218) 723-3912</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Attn: John Janney and Jason Keil</w:t>
              <w:br/>
              <w:t>Phone: (218) 720-2522 and (612) 332-2395</w:t>
              <w:br/>
              <w:t>Facsimile: (218) 720-2508 and (612) 332-2893</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Tariff FERC No.1</w:t>
        <w:tab/>
        <w:tab/>
        <w:t>Dated Effective 5/1/00</w:t>
        <w:tab/>
        <w:tab/>
        <w:t>Docket Number ER00-1857-000</w:t>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cs="Times New Roman" w:ascii="Times New Roman" w:hAnsi="Times New Roman"/>
                <w:szCs w:val="24"/>
              </w:rPr>
              <w:t xml:space="preserve">  </w:t>
            </w:r>
            <w:r>
              <w:rPr>
                <w:rFonts w:cs="Times New Roman" w:ascii="Times New Roman" w:hAnsi="Times New Roman"/>
                <w:szCs w:val="24"/>
              </w:rPr>
              <w:t>Other Entity: Minnesota Power Inc., Great River Energy, Cooperative Power and United Power Association</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$15,000,000.00 as to each of the Guarantors respectively</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r>
            <w:r>
              <w:rPr/>
              <w:t>■</w:t>
            </w:r>
            <w:r>
              <w:rPr>
                <w:sz w:val="20"/>
              </w:rPr>
              <w:tab/>
              <w:t>Option B   Specify: Minnesota Power Inc., Great River Energy,</w:t>
              <w:br/>
              <w:t xml:space="preserve">                                        Cooperative Power and United Power Association</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$4,000,000.00;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pPr>
            <w:r>
              <w:rPr>
                <w:sz w:val="20"/>
              </w:rPr>
              <w:t>■</w:t>
            </w:r>
            <w:r>
              <w:rPr>
                <w:sz w:val="20"/>
              </w:rPr>
              <w:tab/>
              <w:t xml:space="preserve">Other: </w:t>
              <w:br/>
              <w:t xml:space="preserve">Specify: It shall be a Downgrade Event for Party B if Minnesota Power Inc.’s Credit Rating falls below BBB- from S&amp;P or if Minnesota Power Inc. is not rated by S&amp;P or if Great River Energy’s Implied Senior Secured Rating falls below BBB </w:t>
            </w:r>
            <w:r>
              <w:rPr>
                <w:sz w:val="20"/>
                <w:szCs w:val="18"/>
              </w:rPr>
              <w:t xml:space="preserve">from Fitch IBCA or its successor or if Great River Energy, United Power Association and Cooperative Power’s consolidated Net Worth falls $85,000,000.00.  </w:t>
            </w:r>
            <w:r>
              <w:rPr>
                <w:i/>
                <w:sz w:val="20"/>
              </w:rPr>
              <w:t>"</w:t>
            </w:r>
            <w:r>
              <w:rPr>
                <w:i/>
                <w:sz w:val="20"/>
                <w:u w:val="single"/>
              </w:rPr>
              <w:t>Net Worth</w:t>
            </w:r>
            <w:r>
              <w:rPr>
                <w:sz w:val="20"/>
              </w:rPr>
              <w:t xml:space="preserve">" means, with respect to the specified entity, such entity's total assets </w:t>
            </w:r>
            <w:r>
              <w:rPr>
                <w:sz w:val="20"/>
                <w:u w:val="single"/>
              </w:rPr>
              <w:t>minus</w:t>
            </w:r>
            <w:r>
              <w:rPr>
                <w:sz w:val="20"/>
              </w:rPr>
              <w:t xml:space="preserve"> such entity's total liabilities, each as would be reflected on a balance sheet of the specified entity prepared in accordance with GAAP.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Minnesota Power Inc., Great River Energy, Cooperative Power and United Power Association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$6,000,000.00, 50% by Minnesota Power Inc. and 50% by Great River Energy, Cooperative Power and United Power Association severally and jointly, in form of Guaranty attached hereto.</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$25,000,000.00;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$30,000,000.00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 and to add the phrase "regional reliability council or power pool, " in the seventh line immediately before the phrase "exchange, control area or independent system operator  rule".</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first be referred in writing to a senior representative of each Party for resolution.  If the senior representatives are unable to resolve the dispute within ten (10) Business Days after the date of the written notice, the dispute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Washington, D.C.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with each party obtaining in good faith a quote from a leading dealer in the relevant market and averaging the two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the Parties):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b/>
          <w:bCs/>
          <w:sz w:val="20"/>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Split Rock Energy LLC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pPr>
      <w:r>
        <w:rPr>
          <w:sz w:val="20"/>
        </w:rPr>
        <w:t xml:space="preserve">Name: </w:t>
      </w:r>
      <w:r>
        <w:rPr>
          <w:sz w:val="20"/>
          <w:u w:val="single"/>
        </w:rPr>
        <w:tab/>
      </w:r>
      <w:r>
        <w:rPr>
          <w:sz w:val="20"/>
        </w:rPr>
        <w:tab/>
        <w:t>Name: Ade Mussell</w:t>
      </w:r>
    </w:p>
    <w:p>
      <w:pPr>
        <w:pStyle w:val="Signature-dbl"/>
        <w:rPr/>
      </w:pPr>
      <w:r>
        <w:rPr>
          <w:sz w:val="20"/>
        </w:rPr>
        <w:t xml:space="preserve">Title: </w:t>
      </w:r>
      <w:r>
        <w:rPr>
          <w:sz w:val="20"/>
          <w:u w:val="single"/>
        </w:rPr>
        <w:tab/>
      </w:r>
      <w:r>
        <w:rPr>
          <w:sz w:val="20"/>
        </w:rPr>
        <w:tab/>
        <w:t>Title: President and CEO</w:t>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2000-12-08T11:41:00Z</dcterms:created>
  <dc:creator>jmoore2</dc:creator>
  <dc:description/>
  <dc:language>en-CA</dc:language>
  <cp:lastModifiedBy>dportz</cp:lastModifiedBy>
  <cp:lastPrinted>2000-12-08T14:57:00Z</cp:lastPrinted>
  <dcterms:modified xsi:type="dcterms:W3CDTF">2000-12-08T20:06:00Z</dcterms:modified>
  <cp:revision>5</cp:revision>
  <dc:subject/>
  <dc:title>MASTER POWER PURCHASE AND SALE AGREEMENT</dc:title>
</cp:coreProperties>
</file>