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Don’t Always Believe Everything You Read </w:t>
      </w:r>
    </w:p>
    <w:p>
      <w:pPr>
        <w:pStyle w:val="Heading"/>
        <w:rPr/>
      </w:pPr>
      <w:r>
        <w:rPr/>
        <w:t>(This Article Included)</w:t>
      </w:r>
    </w:p>
    <w:p>
      <w:pPr>
        <w:pStyle w:val="Heading"/>
        <w:rPr/>
      </w:pPr>
      <w:r>
        <w:rPr/>
      </w:r>
    </w:p>
    <w:p>
      <w:pPr>
        <w:pStyle w:val="Heading"/>
        <w:rPr>
          <w:sz w:val="24"/>
        </w:rPr>
      </w:pPr>
      <w:r>
        <w:rPr>
          <w:sz w:val="24"/>
        </w:rPr>
        <w:t>Alex Huang</w:t>
      </w:r>
    </w:p>
    <w:p>
      <w:pPr>
        <w:pStyle w:val="Normal"/>
        <w:rPr>
          <w:sz w:val="24"/>
        </w:rPr>
      </w:pPr>
      <w:r>
        <w:rPr>
          <w:sz w:val="24"/>
        </w:rPr>
      </w:r>
    </w:p>
    <w:p>
      <w:pPr>
        <w:pStyle w:val="Normal"/>
        <w:rPr/>
      </w:pPr>
      <w:r>
        <w:rPr/>
      </w:r>
    </w:p>
    <w:p>
      <w:pPr>
        <w:pStyle w:val="BodyText"/>
        <w:jc w:val="both"/>
        <w:rPr/>
      </w:pPr>
      <w:r>
        <w:rPr/>
        <w:t>In the Black-Scholes world, the probability distribution of prices is assumed to be lognormal.  In the commodity markets, in particular the electricity market, it is well known that the lognormal assumption does not hold.  Various models, including jump-diffusion and regime switching, have thus come into being.  In a recently published article in</w:t>
      </w:r>
      <w:r>
        <w:rPr>
          <w:i/>
          <w:iCs/>
        </w:rPr>
        <w:t xml:space="preserve"> Energy &amp; Power Risk</w:t>
      </w:r>
      <w:r>
        <w:rPr/>
        <w:t xml:space="preserve"> Magazine, May 2000 issue, Richard Goldberg and James Read propose a relatively simple model to deal with price spikes.  This model is a simple modification of the Black-Scholes model, and works quite well according to the authors.  Here we give a brief description of the model. </w:t>
      </w:r>
    </w:p>
    <w:p>
      <w:pPr>
        <w:pStyle w:val="Normal"/>
        <w:jc w:val="both"/>
        <w:rPr>
          <w:sz w:val="22"/>
        </w:rPr>
      </w:pPr>
      <w:r>
        <w:rPr>
          <w:sz w:val="22"/>
        </w:rPr>
      </w:r>
    </w:p>
    <w:p>
      <w:pPr>
        <w:pStyle w:val="Normal"/>
        <w:jc w:val="both"/>
        <w:rPr>
          <w:sz w:val="22"/>
        </w:rPr>
      </w:pPr>
      <w:r>
        <w:rPr>
          <w:sz w:val="22"/>
        </w:rPr>
        <w:t>Recall that the value of a European call option on a certain commodity is given by</w:t>
      </w:r>
    </w:p>
    <w:p>
      <w:pPr>
        <w:pStyle w:val="Normal"/>
        <w:jc w:val="both"/>
        <w:rPr/>
      </w:pPr>
      <w:r>
        <w:rPr>
          <w:sz w:val="22"/>
        </w:rPr>
      </w:r>
      <m:oMath xmlns:m="http://schemas.openxmlformats.org/officeDocument/2006/math">
        <m:r>
          <m:t xml:space="preserve">C</m:t>
        </m:r>
        <m:r>
          <m:t xml:space="preserve">(</m:t>
        </m:r>
        <m:r>
          <m:t xml:space="preserve">K</m:t>
        </m:r>
        <m:r>
          <m:t xml:space="preserve">,</m:t>
        </m:r>
        <m:r>
          <m:t xml:space="preserve">F</m:t>
        </m:r>
        <m:r>
          <m:t xml:space="preserve">,</m:t>
        </m:r>
        <m:r>
          <m:t xml:space="preserve">σ</m:t>
        </m:r>
        <m:r>
          <m:t xml:space="preserve">)</m:t>
        </m:r>
        <m:r>
          <m:t xml:space="preserve">=</m:t>
        </m:r>
        <m:sSup>
          <m:e>
            <m:r>
              <m:t xml:space="preserve">e</m:t>
            </m:r>
          </m:e>
          <m:sup>
            <m:r>
              <m:t xml:space="preserve">−</m:t>
            </m:r>
            <m:r>
              <m:rPr>
                <m:lit/>
                <m:nor/>
              </m:rPr>
              <m:t xml:space="preserve">rt</m:t>
            </m:r>
          </m:sup>
        </m:sSup>
        <m:r>
          <m:t xml:space="preserve">⋅</m:t>
        </m:r>
        <m:r>
          <m:t xml:space="preserve">[</m:t>
        </m:r>
        <m:r>
          <m:t xml:space="preserve">F</m:t>
        </m:r>
        <m:r>
          <m:t xml:space="preserve">⋅</m:t>
        </m:r>
        <m:r>
          <m:t xml:space="preserve">N</m:t>
        </m:r>
        <m:r>
          <m:t xml:space="preserve">(</m:t>
        </m:r>
        <m:sSub>
          <m:e>
            <m:r>
              <m:t xml:space="preserve">d</m:t>
            </m:r>
          </m:e>
          <m:sub>
            <m:r>
              <m:t xml:space="preserve">1</m:t>
            </m:r>
          </m:sub>
        </m:sSub>
        <m:r>
          <m:t xml:space="preserve">)</m:t>
        </m:r>
        <m:r>
          <m:t xml:space="preserve">−</m:t>
        </m:r>
        <m:r>
          <m:t xml:space="preserve">K</m:t>
        </m:r>
        <m:r>
          <m:t xml:space="preserve">⋅</m:t>
        </m:r>
        <m:r>
          <m:t xml:space="preserve">N</m:t>
        </m:r>
        <m:r>
          <m:t xml:space="preserve">(</m:t>
        </m:r>
        <m:sSub>
          <m:e>
            <m:r>
              <m:t xml:space="preserve">d</m:t>
            </m:r>
          </m:e>
          <m:sub>
            <m:r>
              <m:t xml:space="preserve">2</m:t>
            </m:r>
          </m:sub>
        </m:sSub>
        <m:r>
          <m:t xml:space="preserve">)</m:t>
        </m:r>
        <m:r>
          <m:t xml:space="preserve">]</m:t>
        </m:r>
      </m:oMath>
      <w:r>
        <w:rPr>
          <w:sz w:val="22"/>
        </w:rPr>
        <w:tab/>
        <w:tab/>
        <w:tab/>
        <w:tab/>
        <w:tab/>
        <w:tab/>
        <w:t>(1)</w:t>
      </w:r>
    </w:p>
    <w:p>
      <w:pPr>
        <w:pStyle w:val="Normal"/>
        <w:jc w:val="both"/>
        <w:rPr/>
      </w:pPr>
      <w:r>
        <w:rPr>
          <w:sz w:val="22"/>
        </w:rPr>
      </w:r>
      <m:oMath xmlns:m="http://schemas.openxmlformats.org/officeDocument/2006/math">
        <m:sSub>
          <m:e>
            <m:r>
              <m:t xml:space="preserve">d</m:t>
            </m:r>
          </m:e>
          <m:sub>
            <m:r>
              <m:t xml:space="preserve">1</m:t>
            </m:r>
          </m:sub>
        </m:sSub>
        <m:r>
          <m:t xml:space="preserve">=</m:t>
        </m:r>
        <m:r>
          <m:t xml:space="preserve">[</m:t>
        </m:r>
        <m:r>
          <m:rPr>
            <m:lit/>
            <m:nor/>
          </m:rPr>
          <m:t xml:space="preserve">ln</m:t>
        </m:r>
        <m:r>
          <m:t xml:space="preserve">(</m:t>
        </m:r>
        <m:f>
          <m:fPr>
            <m:type m:val="lin"/>
          </m:fPr>
          <m:num>
            <m:r>
              <m:t xml:space="preserve">F</m:t>
            </m:r>
          </m:num>
          <m:den>
            <m:r>
              <m:t xml:space="preserve">K</m:t>
            </m:r>
          </m:den>
        </m:f>
        <m:r>
          <m:t xml:space="preserve">)</m:t>
        </m:r>
        <m:r>
          <m:t xml:space="preserve">+</m:t>
        </m:r>
        <m:f>
          <m:fPr>
            <m:type m:val="lin"/>
          </m:fPr>
          <m:num>
            <m:sSup>
              <m:e>
                <m:r>
                  <m:t xml:space="preserve">σ</m:t>
                </m:r>
              </m:e>
              <m:sup>
                <m:r>
                  <m:t xml:space="preserve">2</m:t>
                </m:r>
              </m:sup>
            </m:sSup>
            <m:r>
              <m:t xml:space="preserve">⋅</m:t>
            </m:r>
            <m:r>
              <m:t xml:space="preserve">t</m:t>
            </m:r>
          </m:num>
          <m:den>
            <m:r>
              <m:t xml:space="preserve">2</m:t>
            </m:r>
          </m:den>
        </m:f>
        <m:f>
          <m:fPr>
            <m:type m:val="lin"/>
          </m:fPr>
          <m:num>
            <m:r>
              <m:t xml:space="preserve">]</m:t>
            </m:r>
          </m:num>
          <m:den>
            <m:r>
              <m:t xml:space="preserve">(</m:t>
            </m:r>
          </m:den>
        </m:f>
        <m:r>
          <m:t xml:space="preserve">σ</m:t>
        </m:r>
        <m:r>
          <m:t xml:space="preserve">⋅</m:t>
        </m:r>
        <m:rad>
          <m:radPr>
            <m:degHide m:val="1"/>
          </m:radPr>
          <m:deg/>
          <m:e>
            <m:r>
              <m:t xml:space="preserve">t</m:t>
            </m:r>
          </m:e>
        </m:rad>
        <m:r>
          <m:t xml:space="preserve">)</m:t>
        </m:r>
        <m:r>
          <m:t xml:space="preserve">,</m:t>
        </m:r>
        <m:r>
          <m:rPr>
            <m:lit/>
            <m:nor/>
          </m:rPr>
          <m:t xml:space="preserve">       </m:t>
        </m:r>
        <m:sSub>
          <m:e>
            <m:r>
              <m:t xml:space="preserve">d</m:t>
            </m:r>
          </m:e>
          <m:sub>
            <m:r>
              <m:t xml:space="preserve">2</m:t>
            </m:r>
          </m:sub>
        </m:sSub>
        <m:r>
          <m:t xml:space="preserve">=</m:t>
        </m:r>
        <m:sSub>
          <m:e>
            <m:r>
              <m:t xml:space="preserve">d</m:t>
            </m:r>
          </m:e>
          <m:sub>
            <m:r>
              <m:t xml:space="preserve">1</m:t>
            </m:r>
          </m:sub>
        </m:sSub>
        <m:r>
          <m:t xml:space="preserve">−</m:t>
        </m:r>
        <m:r>
          <m:t xml:space="preserve">σ</m:t>
        </m:r>
        <m:r>
          <m:t xml:space="preserve">⋅</m:t>
        </m:r>
        <m:rad>
          <m:radPr>
            <m:degHide m:val="1"/>
          </m:radPr>
          <m:deg/>
          <m:e>
            <m:r>
              <m:t xml:space="preserve">t</m:t>
            </m:r>
          </m:e>
        </m:rad>
      </m:oMath>
      <w:r>
        <w:rPr>
          <w:sz w:val="22"/>
        </w:rPr>
        <w:tab/>
        <w:tab/>
        <w:tab/>
        <w:tab/>
        <w:t>(2)</w:t>
      </w:r>
    </w:p>
    <w:p>
      <w:pPr>
        <w:pStyle w:val="Normal"/>
        <w:jc w:val="both"/>
        <w:rPr/>
      </w:pPr>
      <w:r>
        <w:rPr>
          <w:sz w:val="22"/>
        </w:rPr>
        <w:t xml:space="preserve">where </w:t>
      </w:r>
      <w:r>
        <w:rPr>
          <w:sz w:val="22"/>
        </w:rPr>
      </w:r>
      <m:oMath xmlns:m="http://schemas.openxmlformats.org/officeDocument/2006/math">
        <m:r>
          <m:t xml:space="preserve">N</m:t>
        </m:r>
        <m:r>
          <m:t xml:space="preserve">(</m:t>
        </m:r>
        <m:r>
          <m:t xml:space="preserve">x</m:t>
        </m:r>
        <m:r>
          <m:t xml:space="preserve">)</m:t>
        </m:r>
      </m:oMath>
      <w:r>
        <w:rPr>
          <w:sz w:val="22"/>
        </w:rPr>
        <w:t xml:space="preserve">is the cumulative standard normal distribution, </w:t>
      </w:r>
      <w:r>
        <w:rPr>
          <w:sz w:val="22"/>
        </w:rPr>
      </w:r>
      <m:oMath xmlns:m="http://schemas.openxmlformats.org/officeDocument/2006/math">
        <m:r>
          <m:t xml:space="preserve">r</m:t>
        </m:r>
      </m:oMath>
      <w:r>
        <w:rPr>
          <w:sz w:val="22"/>
        </w:rPr>
        <w:t xml:space="preserve">is the risk free interest rate, </w:t>
      </w:r>
      <w:r>
        <w:rPr>
          <w:sz w:val="22"/>
        </w:rPr>
      </w:r>
      <m:oMath xmlns:m="http://schemas.openxmlformats.org/officeDocument/2006/math">
        <m:r>
          <m:t xml:space="preserve">t</m:t>
        </m:r>
      </m:oMath>
      <w:r>
        <w:rPr>
          <w:sz w:val="22"/>
        </w:rPr>
        <w:t xml:space="preserve"> is the time to maturity of the option, </w:t>
      </w:r>
      <w:r>
        <w:rPr>
          <w:sz w:val="22"/>
        </w:rPr>
      </w:r>
      <m:oMath xmlns:m="http://schemas.openxmlformats.org/officeDocument/2006/math">
        <m:r>
          <m:t xml:space="preserve">F</m:t>
        </m:r>
      </m:oMath>
      <w:r>
        <w:rPr>
          <w:sz w:val="22"/>
        </w:rPr>
        <w:t xml:space="preserve">is the commodity </w:t>
      </w:r>
      <w:r>
        <w:rPr>
          <w:color w:val="FF00FF"/>
          <w:sz w:val="22"/>
        </w:rPr>
        <w:t>forward</w:t>
      </w:r>
      <w:r>
        <w:rPr>
          <w:sz w:val="22"/>
        </w:rPr>
        <w:t xml:space="preserve"> price, </w:t>
      </w:r>
      <w:r>
        <w:rPr>
          <w:sz w:val="22"/>
        </w:rPr>
      </w:r>
      <m:oMath xmlns:m="http://schemas.openxmlformats.org/officeDocument/2006/math">
        <m:r>
          <m:t xml:space="preserve">K</m:t>
        </m:r>
      </m:oMath>
      <w:r>
        <w:rPr>
          <w:sz w:val="22"/>
        </w:rPr>
        <w:t xml:space="preserve"> is the strike, and </w:t>
      </w:r>
      <w:r>
        <w:rPr>
          <w:sz w:val="22"/>
        </w:rPr>
      </w:r>
      <m:oMath xmlns:m="http://schemas.openxmlformats.org/officeDocument/2006/math">
        <m:r>
          <m:t xml:space="preserve">σ</m:t>
        </m:r>
      </m:oMath>
      <w:r>
        <w:rPr>
          <w:sz w:val="22"/>
        </w:rPr>
        <w:t xml:space="preserve"> is the volatility, usually estimated from the historical data.  Let </w:t>
      </w:r>
      <w:r>
        <w:rPr>
          <w:sz w:val="22"/>
        </w:rPr>
      </w:r>
      <m:oMath xmlns:m="http://schemas.openxmlformats.org/officeDocument/2006/math">
        <m:sSub>
          <m:e>
            <m:r>
              <m:t xml:space="preserve">p</m:t>
            </m:r>
          </m:e>
          <m:sub>
            <m:r>
              <m:t xml:space="preserve">S</m:t>
            </m:r>
          </m:sub>
        </m:sSub>
      </m:oMath>
      <w:r>
        <w:rPr>
          <w:sz w:val="22"/>
        </w:rPr>
        <w:t xml:space="preserve">be the probability of the price being in spike condition, and </w:t>
      </w:r>
      <w:r>
        <w:rPr>
          <w:sz w:val="22"/>
        </w:rPr>
      </w:r>
      <m:oMath xmlns:m="http://schemas.openxmlformats.org/officeDocument/2006/math">
        <m:sSub>
          <m:e>
            <m:r>
              <m:t xml:space="preserve">F</m:t>
            </m:r>
          </m:e>
          <m:sub>
            <m:r>
              <m:t xml:space="preserve">S</m:t>
            </m:r>
          </m:sub>
        </m:sSub>
      </m:oMath>
      <w:r>
        <w:rPr>
          <w:sz w:val="22"/>
        </w:rPr>
        <w:t>be a parameter to be determined below.  The proposed call option value takes the following form:</w:t>
      </w:r>
    </w:p>
    <w:p>
      <w:pPr>
        <w:pStyle w:val="Normal"/>
        <w:jc w:val="both"/>
        <w:rPr/>
      </w:pPr>
      <w:r>
        <w:rPr>
          <w:sz w:val="22"/>
        </w:rPr>
      </w:r>
      <m:oMath xmlns:m="http://schemas.openxmlformats.org/officeDocument/2006/math">
        <m:m>
          <m:mr>
            <m:e>
              <m:m>
                <m:mr>
                  <m:e/>
                  <m:e/>
                  <m:e/>
                  <m:e/>
                </m:mr>
              </m:m>
            </m:e>
            <m:e/>
            <m:e/>
            <m:e/>
          </m:mr>
        </m:m>
        <m:sSub>
          <m:e>
            <m:r>
              <m:t xml:space="preserve">C</m:t>
            </m:r>
          </m:e>
          <m:sub>
            <m:r>
              <m:t xml:space="preserve">S</m:t>
            </m:r>
          </m:sub>
        </m:sSub>
        <m:r>
          <m:t xml:space="preserve">(</m:t>
        </m:r>
        <m:r>
          <m:t xml:space="preserve">K</m:t>
        </m:r>
        <m:r>
          <m:t xml:space="preserve">)</m:t>
        </m:r>
        <m:r>
          <m:t xml:space="preserve">=</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m:t>
        </m:r>
        <m:sSub>
          <m:e>
            <m:r>
              <m:t xml:space="preserve">p</m:t>
            </m:r>
          </m:e>
          <m:sub>
            <m:r>
              <m:t xml:space="preserve">S</m:t>
            </m:r>
          </m:sub>
        </m:sSub>
        <m:r>
          <m:t xml:space="preserve">⋅</m:t>
        </m:r>
        <m:r>
          <m:t xml:space="preserve">(</m:t>
        </m:r>
        <m:sSub>
          <m:e>
            <m:r>
              <m:t xml:space="preserve">F</m:t>
            </m:r>
          </m:e>
          <m:sub>
            <m:r>
              <m:t xml:space="preserve">S</m:t>
            </m:r>
          </m:sub>
        </m:sSub>
        <m:r>
          <m:t xml:space="preserve">−</m:t>
        </m:r>
        <m:r>
          <m:t xml:space="preserve">K</m:t>
        </m:r>
        <m:r>
          <m:t xml:space="preserve">)</m:t>
        </m:r>
        <m:r>
          <m:t xml:space="preserve">⋅</m:t>
        </m:r>
        <m:sSup>
          <m:e>
            <m:r>
              <m:t xml:space="preserve">e</m:t>
            </m:r>
          </m:e>
          <m:sup>
            <m:r>
              <m:t xml:space="preserve">−</m:t>
            </m:r>
            <m:r>
              <m:rPr>
                <m:lit/>
                <m:nor/>
              </m:rPr>
              <m:t xml:space="preserve">rt</m:t>
            </m:r>
          </m:sup>
        </m:sSup>
        <m:r>
          <m:rPr>
            <m:lit/>
            <m:nor/>
          </m:rPr>
          <m:t xml:space="preserve">.</m:t>
        </m:r>
      </m:oMath>
      <w:r>
        <w:rPr>
          <w:sz w:val="22"/>
        </w:rPr>
        <w:tab/>
        <w:t>(3)</w:t>
      </w:r>
    </w:p>
    <w:p>
      <w:pPr>
        <w:pStyle w:val="Normal"/>
        <w:jc w:val="both"/>
        <w:rPr/>
      </w:pPr>
      <w:r>
        <w:rPr>
          <w:sz w:val="22"/>
        </w:rPr>
        <w:t xml:space="preserve">Here </w:t>
      </w:r>
      <w:r>
        <w:rPr>
          <w:sz w:val="22"/>
        </w:rPr>
      </w:r>
      <m:oMath xmlns:m="http://schemas.openxmlformats.org/officeDocument/2006/math">
        <m:sSub>
          <m:e>
            <m:r>
              <m:t xml:space="preserve">F</m:t>
            </m:r>
          </m:e>
          <m:sub>
            <m:r>
              <m:t xml:space="preserve">N</m:t>
            </m:r>
          </m:sub>
        </m:sSub>
      </m:oMath>
      <w:r>
        <w:rPr>
          <w:sz w:val="22"/>
        </w:rPr>
        <w:t xml:space="preserve"> and </w:t>
      </w:r>
      <w:r>
        <w:rPr>
          <w:sz w:val="22"/>
        </w:rPr>
      </w:r>
      <m:oMath xmlns:m="http://schemas.openxmlformats.org/officeDocument/2006/math">
        <m:sSub>
          <m:e>
            <m:r>
              <m:t xml:space="preserve">σ</m:t>
            </m:r>
          </m:e>
          <m:sub>
            <m:r>
              <m:t xml:space="preserve">N</m:t>
            </m:r>
          </m:sub>
        </m:sSub>
      </m:oMath>
      <w:r>
        <w:rPr>
          <w:sz w:val="22"/>
        </w:rPr>
        <w:t xml:space="preserve"> are historical mean and annualized standard deviation, and </w:t>
      </w:r>
      <w:r>
        <w:rPr>
          <w:sz w:val="22"/>
        </w:rPr>
      </w:r>
      <m:oMath xmlns:m="http://schemas.openxmlformats.org/officeDocument/2006/math">
        <m:sSub>
          <m:e>
            <m:r>
              <m:t xml:space="preserve">F</m:t>
            </m:r>
          </m:e>
          <m:sub>
            <m:r>
              <m:t xml:space="preserve">S</m:t>
            </m:r>
          </m:sub>
        </m:sSub>
      </m:oMath>
      <w:r>
        <w:rPr>
          <w:sz w:val="22"/>
        </w:rPr>
        <w:t>is chosen to satisfy</w:t>
      </w:r>
    </w:p>
    <w:p>
      <w:pPr>
        <w:pStyle w:val="Normal"/>
        <w:jc w:val="both"/>
        <w:rPr/>
      </w:pPr>
      <w:r>
        <w:rPr>
          <w:sz w:val="22"/>
        </w:rPr>
      </w:r>
      <m:oMath xmlns:m="http://schemas.openxmlformats.org/officeDocument/2006/math">
        <m:m>
          <m:mr>
            <m:e>
              <m:m>
                <m:mr>
                  <m:e>
                    <m:m>
                      <m:mr>
                        <m:e/>
                        <m:e/>
                        <m:e/>
                        <m:e/>
                      </m:mr>
                    </m:m>
                  </m:e>
                  <m:e/>
                  <m:e/>
                </m:mr>
              </m:m>
            </m:e>
            <m:e/>
            <m:e/>
          </m:mr>
        </m:m>
        <m:r>
          <m:t xml:space="preserve">F</m:t>
        </m:r>
        <m:r>
          <m:t xml:space="preserve">=</m:t>
        </m:r>
        <m:r>
          <m:t xml:space="preserve">(</m:t>
        </m:r>
        <m:r>
          <m:t xml:space="preserve">1</m:t>
        </m:r>
        <m:r>
          <m:t xml:space="preserve">−</m:t>
        </m:r>
        <m:sSub>
          <m:e>
            <m:r>
              <m:t xml:space="preserve">p</m:t>
            </m:r>
          </m:e>
          <m:sub>
            <m:r>
              <m:t xml:space="preserve">S</m:t>
            </m:r>
          </m:sub>
        </m:sSub>
        <m:r>
          <m:t xml:space="preserve">)</m:t>
        </m:r>
        <m:r>
          <m:t xml:space="preserve">⋅</m:t>
        </m:r>
        <m:sSub>
          <m:e>
            <m:r>
              <m:t xml:space="preserve">F</m:t>
            </m:r>
          </m:e>
          <m:sub>
            <m:r>
              <m:t xml:space="preserve">N</m:t>
            </m:r>
          </m:sub>
        </m:sSub>
        <m:r>
          <m:t xml:space="preserve">+</m:t>
        </m:r>
        <m:sSub>
          <m:e>
            <m:r>
              <m:t xml:space="preserve">p</m:t>
            </m:r>
          </m:e>
          <m:sub>
            <m:r>
              <m:t xml:space="preserve">S</m:t>
            </m:r>
          </m:sub>
        </m:sSub>
        <m:r>
          <m:t xml:space="preserve">⋅</m:t>
        </m:r>
        <m:sSub>
          <m:e>
            <m:r>
              <m:t xml:space="preserve">F</m:t>
            </m:r>
          </m:e>
          <m:sub>
            <m:r>
              <m:t xml:space="preserve">S</m:t>
            </m:r>
          </m:sub>
        </m:sSub>
      </m:oMath>
      <w:r>
        <w:rPr>
          <w:sz w:val="22"/>
        </w:rPr>
        <w:tab/>
        <w:tab/>
        <w:tab/>
        <w:tab/>
        <w:tab/>
        <w:t>(4)</w:t>
      </w:r>
    </w:p>
    <w:p>
      <w:pPr>
        <w:pStyle w:val="Normal"/>
        <w:jc w:val="both"/>
        <w:rPr/>
      </w:pPr>
      <w:r>
        <w:rPr>
          <w:sz w:val="22"/>
        </w:rPr>
        <w:t xml:space="preserve">with </w:t>
      </w:r>
      <w:r>
        <w:rPr>
          <w:sz w:val="22"/>
        </w:rPr>
      </w:r>
      <m:oMath xmlns:m="http://schemas.openxmlformats.org/officeDocument/2006/math">
        <m:r>
          <m:t xml:space="preserve">F</m:t>
        </m:r>
      </m:oMath>
      <w:r>
        <w:rPr>
          <w:sz w:val="22"/>
        </w:rPr>
        <w:t xml:space="preserve">being the forward price.  If </w:t>
      </w:r>
      <w:r>
        <w:rPr>
          <w:color w:val="000000"/>
          <w:sz w:val="22"/>
        </w:rPr>
      </w:r>
      <m:oMath xmlns:m="http://schemas.openxmlformats.org/officeDocument/2006/math">
        <m:sSub>
          <m:e>
            <m:r>
              <m:t xml:space="preserve">p</m:t>
            </m:r>
          </m:e>
          <m:sub>
            <m:r>
              <m:t xml:space="preserve">S</m:t>
            </m:r>
          </m:sub>
        </m:sSub>
        <m:r>
          <m:t xml:space="preserve">=</m:t>
        </m:r>
        <m:r>
          <m:t xml:space="preserve">0</m:t>
        </m:r>
      </m:oMath>
      <w:r>
        <w:rPr>
          <w:color w:val="000000"/>
          <w:sz w:val="22"/>
        </w:rPr>
        <w:t xml:space="preserve">, the option value reduces to the Black-Scholes value. </w:t>
      </w:r>
    </w:p>
    <w:p>
      <w:pPr>
        <w:pStyle w:val="Normal"/>
        <w:jc w:val="both"/>
        <w:rPr>
          <w:color w:val="000000"/>
          <w:sz w:val="22"/>
        </w:rPr>
      </w:pPr>
      <w:r>
        <w:rPr>
          <w:color w:val="000000"/>
          <w:sz w:val="22"/>
        </w:rPr>
      </w:r>
    </w:p>
    <w:p>
      <w:pPr>
        <w:pStyle w:val="Normal"/>
        <w:jc w:val="both"/>
        <w:rPr/>
      </w:pPr>
      <w:r>
        <w:rPr>
          <w:sz w:val="22"/>
        </w:rPr>
        <w:t>For example, suppose we are to price an electricity call option at the California Power Exchange.  The option starts on June 1, 2000 and expires on Sept. 1, 2000, with the strike equal to $100/MWh.</w:t>
      </w:r>
      <w:r>
        <w:rPr>
          <w:color w:val="000000"/>
          <w:sz w:val="22"/>
        </w:rPr>
        <w:t xml:space="preserve">  </w:t>
      </w:r>
      <w:r>
        <w:rPr>
          <w:sz w:val="22"/>
        </w:rPr>
        <w:t xml:space="preserve">We can look at the 1999 daily electricity price at CalPX and determine that the historical volatility for the summer months is </w:t>
      </w:r>
      <w:r>
        <w:rPr>
          <w:color w:val="000000"/>
          <w:sz w:val="22"/>
        </w:rPr>
        <w:t xml:space="preserve">484.82%, the historical mean is $28.30/MWh, and the historical price spread (standard deviation) is $11.10/MWh. The parameter </w:t>
      </w:r>
      <w:r>
        <w:rPr>
          <w:color w:val="000000"/>
          <w:sz w:val="22"/>
        </w:rPr>
      </w:r>
      <m:oMath xmlns:m="http://schemas.openxmlformats.org/officeDocument/2006/math">
        <m:sSub>
          <m:e>
            <m:r>
              <m:t xml:space="preserve">p</m:t>
            </m:r>
          </m:e>
          <m:sub>
            <m:r>
              <m:t xml:space="preserve">S</m:t>
            </m:r>
          </m:sub>
        </m:sSub>
      </m:oMath>
      <w:r>
        <w:rPr>
          <w:color w:val="000000"/>
          <w:sz w:val="22"/>
        </w:rPr>
        <w:t xml:space="preserve"> can be estimated from the historical data, and how it is estimated reflects our view of what constitutes a price spike.  For example, we can consider it a spike if the price is one (or two) standard deviation greater than the mean.  To be more specific, let us assume that a price spike occurs if the price is one standard deviation greater than the mean.  Then there were ten spikes during the 1999 summer months.  So the spike probability is 11.11%=10/90.  Once </w:t>
      </w:r>
      <w:r>
        <w:rPr>
          <w:color w:val="000000"/>
          <w:sz w:val="22"/>
        </w:rPr>
      </w:r>
      <m:oMath xmlns:m="http://schemas.openxmlformats.org/officeDocument/2006/math">
        <m:sSub>
          <m:e>
            <m:r>
              <m:t xml:space="preserve">p</m:t>
            </m:r>
          </m:e>
          <m:sub>
            <m:r>
              <m:t xml:space="preserve">S</m:t>
            </m:r>
          </m:sub>
        </m:sSub>
      </m:oMath>
      <w:r>
        <w:rPr>
          <w:color w:val="000000"/>
          <w:sz w:val="22"/>
        </w:rPr>
        <w:t xml:space="preserve"> is known, </w:t>
      </w:r>
      <w:r>
        <w:rPr>
          <w:color w:val="000000"/>
          <w:sz w:val="22"/>
        </w:rPr>
      </w:r>
      <m:oMath xmlns:m="http://schemas.openxmlformats.org/officeDocument/2006/math">
        <m:sSub>
          <m:e>
            <m:r>
              <m:t xml:space="preserve">F</m:t>
            </m:r>
          </m:e>
          <m:sub>
            <m:r>
              <m:t xml:space="preserve">S</m:t>
            </m:r>
          </m:sub>
        </m:sSub>
      </m:oMath>
      <w:r>
        <w:rPr>
          <w:color w:val="000000"/>
          <w:sz w:val="22"/>
        </w:rPr>
        <w:t xml:space="preserve"> can be determined from the forward price.  We illustrate this procedure by varying the price of September delivery forward contract and the strike, as well as our view of price spike, and summarize the results in the table below.</w:t>
      </w:r>
    </w:p>
    <w:p>
      <w:pPr>
        <w:pStyle w:val="Normal"/>
        <w:jc w:val="both"/>
        <w:rPr>
          <w:color w:val="000000"/>
          <w:sz w:val="22"/>
        </w:rPr>
      </w:pPr>
      <w:r>
        <w:rPr>
          <w:color w:val="000000"/>
          <w:sz w:val="22"/>
        </w:rPr>
      </w:r>
    </w:p>
    <w:p>
      <w:pPr>
        <w:pStyle w:val="Normal"/>
        <w:jc w:val="both"/>
        <w:rPr/>
      </w:pPr>
      <w:r>
        <w:rPr>
          <w:sz w:val="22"/>
        </w:rPr>
        <w:t xml:space="preserve">Immediately we see something quite counter-intuitive.  As </w:t>
      </w:r>
      <w:r>
        <w:rPr>
          <w:color w:val="000000"/>
          <w:sz w:val="22"/>
        </w:rPr>
      </w:r>
      <m:oMath xmlns:m="http://schemas.openxmlformats.org/officeDocument/2006/math">
        <m:sSub>
          <m:e>
            <m:r>
              <m:t xml:space="preserve">p</m:t>
            </m:r>
          </m:e>
          <m:sub>
            <m:r>
              <m:t xml:space="preserve">S</m:t>
            </m:r>
          </m:sub>
        </m:sSub>
      </m:oMath>
      <w:r>
        <w:rPr>
          <w:color w:val="000000"/>
          <w:sz w:val="22"/>
        </w:rPr>
        <w:t xml:space="preserve"> goes to zero, we would expect the option value to get smaller, and eventually approach the Black-Scholes value.  But the table below shows that the option value gets larger as </w:t>
      </w:r>
      <w:r>
        <w:rPr>
          <w:color w:val="000000"/>
          <w:sz w:val="22"/>
        </w:rPr>
      </w:r>
      <m:oMath xmlns:m="http://schemas.openxmlformats.org/officeDocument/2006/math">
        <m:sSub>
          <m:e>
            <m:r>
              <m:t xml:space="preserve">p</m:t>
            </m:r>
          </m:e>
          <m:sub>
            <m:r>
              <m:t xml:space="preserve">S</m:t>
            </m:r>
          </m:sub>
        </m:sSub>
      </m:oMath>
      <w:r>
        <w:rPr>
          <w:color w:val="000000"/>
          <w:sz w:val="22"/>
        </w:rPr>
        <w:t xml:space="preserve"> gets smaller, and this phenomenon is across all strikes and all forward prices.  When </w:t>
      </w:r>
      <w:r>
        <w:rPr>
          <w:color w:val="000000"/>
          <w:sz w:val="22"/>
        </w:rPr>
      </w:r>
      <m:oMath xmlns:m="http://schemas.openxmlformats.org/officeDocument/2006/math">
        <m:r>
          <m:t xml:space="preserve">K</m:t>
        </m:r>
      </m:oMath>
      <w:r>
        <w:rPr>
          <w:color w:val="000000"/>
          <w:sz w:val="22"/>
        </w:rPr>
        <w:t xml:space="preserve"> is large (this is the case where the proposed formula is most useful), and </w:t>
      </w:r>
      <w:r>
        <w:rPr>
          <w:color w:val="000000"/>
          <w:sz w:val="22"/>
        </w:rPr>
      </w:r>
      <m:oMath xmlns:m="http://schemas.openxmlformats.org/officeDocument/2006/math">
        <m:r>
          <m:t xml:space="preserve">F</m:t>
        </m:r>
      </m:oMath>
      <w:r>
        <w:rPr>
          <w:color w:val="000000"/>
          <w:sz w:val="22"/>
        </w:rPr>
        <w:t xml:space="preserve">is relatively small, </w:t>
      </w:r>
      <w:r>
        <w:rPr>
          <w:color w:val="000000"/>
          <w:sz w:val="22"/>
        </w:rPr>
      </w:r>
      <m:oMath xmlns:m="http://schemas.openxmlformats.org/officeDocument/2006/math">
        <m:sSub>
          <m:e>
            <m:r>
              <m:t xml:space="preserve">F</m:t>
            </m:r>
          </m:e>
          <m:sub>
            <m:r>
              <m:t xml:space="preserve">S</m:t>
            </m:r>
          </m:sub>
        </m:sSub>
        <m:r>
          <m:t xml:space="preserve">−</m:t>
        </m:r>
        <m:r>
          <m:t xml:space="preserve">K</m:t>
        </m:r>
      </m:oMath>
      <w:r>
        <w:rPr>
          <w:color w:val="000000"/>
          <w:sz w:val="22"/>
        </w:rPr>
        <w:t xml:space="preserve">can become negative.  Consequently the modified option value can be smaller than the Black-Scholes value, which is also contradictory: by considering spiky situation, we obtain a lower value.  In this calculation, if we consider one standard deviation from the mean as a spike, then we actually obtain a negative option value.  </w:t>
      </w:r>
    </w:p>
    <w:p>
      <w:pPr>
        <w:pStyle w:val="Normal"/>
        <w:jc w:val="both"/>
        <w:rPr>
          <w:color w:val="000000"/>
          <w:sz w:val="22"/>
        </w:rPr>
      </w:pPr>
      <w:r>
        <w:rPr>
          <w:color w:val="000000"/>
          <w:sz w:val="22"/>
        </w:rPr>
      </w:r>
    </w:p>
    <w:tbl>
      <w:tblPr>
        <w:tblW w:w="8761" w:type="dxa"/>
        <w:jc w:val="center"/>
        <w:tblInd w:w="0" w:type="dxa"/>
        <w:tblLayout w:type="fixed"/>
        <w:tblCellMar>
          <w:top w:w="0" w:type="dxa"/>
          <w:start w:w="30" w:type="dxa"/>
          <w:bottom w:w="0" w:type="dxa"/>
          <w:end w:w="30" w:type="dxa"/>
        </w:tblCellMar>
      </w:tblPr>
      <w:tblGrid>
        <w:gridCol w:w="1204"/>
        <w:gridCol w:w="900"/>
        <w:gridCol w:w="1080"/>
        <w:gridCol w:w="1170"/>
        <w:gridCol w:w="1080"/>
        <w:gridCol w:w="927"/>
        <w:gridCol w:w="1080"/>
        <w:gridCol w:w="1320"/>
      </w:tblGrid>
      <w:tr>
        <w:trPr>
          <w:trHeight w:val="218" w:hRule="atLeast"/>
        </w:trPr>
        <w:tc>
          <w:tcPr>
            <w:tcW w:w="1204" w:type="dxa"/>
            <w:tcBorders>
              <w:top w:val="single" w:sz="12" w:space="0" w:color="008000"/>
              <w:start w:val="single" w:sz="6" w:space="0" w:color="008000"/>
              <w:bottom w:val="single" w:sz="12" w:space="0" w:color="008000"/>
            </w:tcBorders>
            <w:shd w:fill="C0C0C0" w:val="clear"/>
          </w:tcPr>
          <w:p>
            <w:pPr>
              <w:pStyle w:val="Normal"/>
              <w:jc w:val="both"/>
              <w:rPr>
                <w:b/>
              </w:rPr>
            </w:pPr>
            <w:r>
              <w:rPr>
                <w:b/>
              </w:rPr>
              <w:t>Spike</w:t>
            </w:r>
          </w:p>
        </w:tc>
        <w:tc>
          <w:tcPr>
            <w:tcW w:w="900" w:type="dxa"/>
            <w:tcBorders>
              <w:top w:val="single" w:sz="12" w:space="0" w:color="008000"/>
              <w:bottom w:val="single" w:sz="12" w:space="0" w:color="008000"/>
            </w:tcBorders>
            <w:shd w:fill="C0C0C0" w:val="clear"/>
          </w:tcPr>
          <w:p>
            <w:pPr>
              <w:pStyle w:val="Normal"/>
              <w:jc w:val="both"/>
              <w:rPr>
                <w:b/>
              </w:rPr>
            </w:pPr>
            <w:r>
              <w:rPr>
                <w:b/>
              </w:rPr>
              <w:t>1 Std</w:t>
            </w:r>
          </w:p>
        </w:tc>
        <w:tc>
          <w:tcPr>
            <w:tcW w:w="1080" w:type="dxa"/>
            <w:tcBorders>
              <w:top w:val="single" w:sz="12" w:space="0" w:color="008000"/>
              <w:bottom w:val="single" w:sz="12" w:space="0" w:color="008000"/>
            </w:tcBorders>
            <w:shd w:fill="C0C0C0" w:val="clear"/>
          </w:tcPr>
          <w:p>
            <w:pPr>
              <w:pStyle w:val="Normal"/>
              <w:jc w:val="both"/>
              <w:rPr>
                <w:b/>
              </w:rPr>
            </w:pPr>
            <w:r>
              <w:rPr>
                <w:b/>
              </w:rPr>
              <w:t>1.5 Std</w:t>
            </w:r>
          </w:p>
        </w:tc>
        <w:tc>
          <w:tcPr>
            <w:tcW w:w="1170" w:type="dxa"/>
            <w:tcBorders>
              <w:top w:val="single" w:sz="12" w:space="0" w:color="008000"/>
              <w:bottom w:val="single" w:sz="12" w:space="0" w:color="008000"/>
            </w:tcBorders>
            <w:shd w:fill="C0C0C0" w:val="clear"/>
          </w:tcPr>
          <w:p>
            <w:pPr>
              <w:pStyle w:val="Normal"/>
              <w:jc w:val="both"/>
              <w:rPr>
                <w:b/>
              </w:rPr>
            </w:pPr>
            <w:r>
              <w:rPr>
                <w:b/>
              </w:rPr>
              <w:t>2 Std</w:t>
            </w:r>
          </w:p>
        </w:tc>
        <w:tc>
          <w:tcPr>
            <w:tcW w:w="1080" w:type="dxa"/>
            <w:tcBorders>
              <w:top w:val="single" w:sz="12" w:space="0" w:color="008000"/>
              <w:bottom w:val="single" w:sz="12" w:space="0" w:color="008000"/>
            </w:tcBorders>
            <w:shd w:fill="C0C0C0" w:val="clear"/>
          </w:tcPr>
          <w:p>
            <w:pPr>
              <w:pStyle w:val="Normal"/>
              <w:jc w:val="both"/>
              <w:rPr>
                <w:b/>
              </w:rPr>
            </w:pPr>
            <w:r>
              <w:rPr>
                <w:b/>
              </w:rPr>
              <w:t>3 Std</w:t>
            </w:r>
          </w:p>
        </w:tc>
        <w:tc>
          <w:tcPr>
            <w:tcW w:w="927" w:type="dxa"/>
            <w:tcBorders>
              <w:top w:val="single" w:sz="12" w:space="0" w:color="008000"/>
              <w:bottom w:val="single" w:sz="12" w:space="0" w:color="008000"/>
            </w:tcBorders>
            <w:shd w:fill="C0C0C0" w:val="clear"/>
          </w:tcPr>
          <w:p>
            <w:pPr>
              <w:pStyle w:val="Normal"/>
              <w:jc w:val="both"/>
              <w:rPr>
                <w:b/>
              </w:rPr>
            </w:pPr>
            <w:r>
              <w:rPr>
                <w:b/>
              </w:rPr>
              <w:t>BS Price</w:t>
            </w:r>
          </w:p>
        </w:tc>
        <w:tc>
          <w:tcPr>
            <w:tcW w:w="1080" w:type="dxa"/>
            <w:tcBorders>
              <w:top w:val="single" w:sz="12" w:space="0" w:color="008000"/>
              <w:bottom w:val="single" w:sz="12" w:space="0" w:color="008000"/>
            </w:tcBorders>
            <w:shd w:fill="C0C0C0" w:val="clear"/>
          </w:tcPr>
          <w:p>
            <w:pPr>
              <w:pStyle w:val="Normal"/>
              <w:jc w:val="both"/>
              <w:rPr>
                <w:b/>
              </w:rPr>
            </w:pPr>
            <w:r>
              <w:rPr>
                <w:b/>
              </w:rPr>
              <w:t>Strike</w:t>
            </w:r>
          </w:p>
        </w:tc>
        <w:tc>
          <w:tcPr>
            <w:tcW w:w="1320" w:type="dxa"/>
            <w:tcBorders>
              <w:top w:val="single" w:sz="12" w:space="0" w:color="008000"/>
              <w:bottom w:val="single" w:sz="12" w:space="0" w:color="008000"/>
              <w:end w:val="single" w:sz="6" w:space="0" w:color="008000"/>
            </w:tcBorders>
            <w:shd w:fill="C0C0C0" w:val="clear"/>
          </w:tcPr>
          <w:p>
            <w:pPr>
              <w:pStyle w:val="Normal"/>
              <w:jc w:val="both"/>
              <w:rPr>
                <w:b/>
              </w:rPr>
            </w:pPr>
            <w:r>
              <w:rPr>
                <w:b/>
              </w:rPr>
              <w:t>Forward Price</w:t>
            </w:r>
          </w:p>
        </w:tc>
      </w:tr>
      <w:tr>
        <w:trPr>
          <w:trHeight w:val="218" w:hRule="atLeast"/>
        </w:trPr>
        <w:tc>
          <w:tcPr>
            <w:tcW w:w="1204" w:type="dxa"/>
            <w:tcBorders>
              <w:start w:val="single" w:sz="6" w:space="0" w:color="008000"/>
              <w:bottom w:val="single" w:sz="6" w:space="0" w:color="000000"/>
            </w:tcBorders>
            <w:shd w:fill="CCCCCC" w:val="clear"/>
          </w:tcPr>
          <w:p>
            <w:pPr>
              <w:pStyle w:val="Normal"/>
              <w:jc w:val="both"/>
              <w:rPr>
                <w:b/>
                <w:vertAlign w:val="subscript"/>
              </w:rPr>
            </w:pPr>
            <w:r>
              <w:rPr>
                <w:b/>
              </w:rPr>
            </w:r>
            <m:oMathPara xmlns:m="http://schemas.openxmlformats.org/officeDocument/2006/math">
              <m:oMathParaPr>
                <m:jc m:val="left"/>
              </m:oMathParaPr>
              <m:oMath>
                <m:sSub>
                  <m:e>
                    <m:r>
                      <m:t xml:space="preserve">p</m:t>
                    </m:r>
                  </m:e>
                  <m:sub>
                    <m:r>
                      <m:t xml:space="preserve">S</m:t>
                    </m:r>
                  </m:sub>
                </m:sSub>
              </m:oMath>
            </m:oMathPara>
          </w:p>
        </w:tc>
        <w:tc>
          <w:tcPr>
            <w:tcW w:w="900" w:type="dxa"/>
            <w:tcBorders>
              <w:bottom w:val="single" w:sz="6" w:space="0" w:color="000000"/>
            </w:tcBorders>
            <w:shd w:fill="CCCCCC" w:val="clear"/>
          </w:tcPr>
          <w:p>
            <w:pPr>
              <w:pStyle w:val="Normal"/>
              <w:jc w:val="both"/>
              <w:rPr/>
            </w:pPr>
            <w:r>
              <w:rPr/>
              <w:t>11.11%</w:t>
            </w:r>
          </w:p>
        </w:tc>
        <w:tc>
          <w:tcPr>
            <w:tcW w:w="1080" w:type="dxa"/>
            <w:tcBorders>
              <w:bottom w:val="single" w:sz="6" w:space="0" w:color="000000"/>
            </w:tcBorders>
            <w:shd w:fill="CCCCCC" w:val="clear"/>
          </w:tcPr>
          <w:p>
            <w:pPr>
              <w:pStyle w:val="Normal"/>
              <w:jc w:val="both"/>
              <w:rPr/>
            </w:pPr>
            <w:r>
              <w:rPr/>
              <w:t>7.78%</w:t>
            </w:r>
          </w:p>
        </w:tc>
        <w:tc>
          <w:tcPr>
            <w:tcW w:w="1170" w:type="dxa"/>
            <w:tcBorders>
              <w:bottom w:val="single" w:sz="6" w:space="0" w:color="000000"/>
            </w:tcBorders>
            <w:shd w:fill="CCCCCC" w:val="clear"/>
          </w:tcPr>
          <w:p>
            <w:pPr>
              <w:pStyle w:val="Normal"/>
              <w:jc w:val="both"/>
              <w:rPr/>
            </w:pPr>
            <w:r>
              <w:rPr/>
              <w:t>6.67%</w:t>
            </w:r>
          </w:p>
        </w:tc>
        <w:tc>
          <w:tcPr>
            <w:tcW w:w="1080" w:type="dxa"/>
            <w:tcBorders>
              <w:bottom w:val="single" w:sz="6" w:space="0" w:color="000000"/>
            </w:tcBorders>
            <w:shd w:fill="CCCCCC" w:val="clear"/>
          </w:tcPr>
          <w:p>
            <w:pPr>
              <w:pStyle w:val="Normal"/>
              <w:jc w:val="both"/>
              <w:rPr/>
            </w:pPr>
            <w:r>
              <w:rPr/>
              <w:t>1.11%</w:t>
            </w:r>
          </w:p>
        </w:tc>
        <w:tc>
          <w:tcPr>
            <w:tcW w:w="927" w:type="dxa"/>
            <w:tcBorders>
              <w:bottom w:val="single" w:sz="6" w:space="0" w:color="000000"/>
            </w:tcBorders>
            <w:shd w:fill="CCCCCC" w:val="clear"/>
          </w:tcPr>
          <w:p>
            <w:pPr>
              <w:pStyle w:val="Normal"/>
              <w:snapToGrid w:val="false"/>
              <w:jc w:val="both"/>
              <w:rPr/>
            </w:pPr>
            <w:r>
              <w:rPr/>
            </w:r>
          </w:p>
        </w:tc>
        <w:tc>
          <w:tcPr>
            <w:tcW w:w="1080" w:type="dxa"/>
            <w:tcBorders>
              <w:bottom w:val="single" w:sz="6" w:space="0" w:color="000000"/>
            </w:tcBorders>
            <w:shd w:fill="CCCCCC" w:val="clear"/>
          </w:tcPr>
          <w:p>
            <w:pPr>
              <w:pStyle w:val="Normal"/>
              <w:snapToGrid w:val="false"/>
              <w:jc w:val="both"/>
              <w:rPr/>
            </w:pPr>
            <w:r>
              <w:rPr/>
            </w:r>
          </w:p>
        </w:tc>
        <w:tc>
          <w:tcPr>
            <w:tcW w:w="1320" w:type="dxa"/>
            <w:tcBorders>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vertAlign w:val="subscript"/>
              </w:rPr>
            </w:pPr>
            <w:r>
              <w:rPr>
                <w:b/>
                <w:vertAlign w:val="subscript"/>
              </w:rPr>
            </w:r>
            <m:oMathPara xmlns:m="http://schemas.openxmlformats.org/officeDocument/2006/math">
              <m:oMathParaPr>
                <m:jc m:val="left"/>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both"/>
              <w:rPr/>
            </w:pPr>
            <w:r>
              <w:rPr/>
              <w:t>$   61.56</w:t>
            </w:r>
          </w:p>
        </w:tc>
        <w:tc>
          <w:tcPr>
            <w:tcW w:w="1080" w:type="dxa"/>
            <w:tcBorders>
              <w:top w:val="single" w:sz="6" w:space="0" w:color="000000"/>
              <w:bottom w:val="single" w:sz="6" w:space="0" w:color="000000"/>
            </w:tcBorders>
            <w:shd w:fill="FFFFBF" w:val="clear"/>
          </w:tcPr>
          <w:p>
            <w:pPr>
              <w:pStyle w:val="Normal"/>
              <w:jc w:val="both"/>
              <w:rPr/>
            </w:pPr>
            <w:r>
              <w:rPr/>
              <w:t>$         75.82</w:t>
            </w:r>
          </w:p>
        </w:tc>
        <w:tc>
          <w:tcPr>
            <w:tcW w:w="1170" w:type="dxa"/>
            <w:tcBorders>
              <w:top w:val="single" w:sz="6" w:space="0" w:color="000000"/>
              <w:bottom w:val="single" w:sz="6" w:space="0" w:color="000000"/>
            </w:tcBorders>
            <w:shd w:fill="FFFFBF" w:val="clear"/>
          </w:tcPr>
          <w:p>
            <w:pPr>
              <w:pStyle w:val="Normal"/>
              <w:jc w:val="both"/>
              <w:rPr/>
            </w:pPr>
            <w:r>
              <w:rPr/>
              <w:t>$      83.73</w:t>
            </w:r>
          </w:p>
        </w:tc>
        <w:tc>
          <w:tcPr>
            <w:tcW w:w="1080" w:type="dxa"/>
            <w:tcBorders>
              <w:top w:val="single" w:sz="6" w:space="0" w:color="000000"/>
              <w:bottom w:val="single" w:sz="6" w:space="0" w:color="000000"/>
            </w:tcBorders>
            <w:shd w:fill="FFFFBF" w:val="clear"/>
          </w:tcPr>
          <w:p>
            <w:pPr>
              <w:pStyle w:val="Normal"/>
              <w:jc w:val="both"/>
              <w:rPr/>
            </w:pPr>
            <w:r>
              <w:rPr/>
              <w:t>$     360.88</w:t>
            </w:r>
          </w:p>
        </w:tc>
        <w:tc>
          <w:tcPr>
            <w:tcW w:w="927" w:type="dxa"/>
            <w:tcBorders>
              <w:top w:val="single" w:sz="6" w:space="0" w:color="000000"/>
              <w:bottom w:val="single" w:sz="6" w:space="0" w:color="000000"/>
            </w:tcBorders>
            <w:shd w:fill="FFFFBF" w:val="clear"/>
          </w:tcPr>
          <w:p>
            <w:pPr>
              <w:pStyle w:val="Normal"/>
              <w:snapToGrid w:val="false"/>
              <w:jc w:val="both"/>
              <w:rPr/>
            </w:pPr>
            <w:r>
              <w:rPr/>
            </w:r>
          </w:p>
        </w:tc>
        <w:tc>
          <w:tcPr>
            <w:tcW w:w="1080" w:type="dxa"/>
            <w:tcBorders>
              <w:top w:val="single" w:sz="6" w:space="0" w:color="000000"/>
              <w:bottom w:val="single" w:sz="6" w:space="0" w:color="000000"/>
            </w:tcBorders>
            <w:shd w:fill="FFFFBF" w:val="clear"/>
          </w:tcPr>
          <w:p>
            <w:pPr>
              <w:pStyle w:val="Normal"/>
              <w:snapToGrid w:val="false"/>
              <w:jc w:val="both"/>
              <w:rPr/>
            </w:pPr>
            <w:r>
              <w:rPr/>
            </w:r>
          </w:p>
        </w:tc>
        <w:tc>
          <w:tcPr>
            <w:tcW w:w="1320" w:type="dxa"/>
            <w:tcBorders>
              <w:top w:val="single" w:sz="6" w:space="0" w:color="000000"/>
              <w:bottom w:val="single" w:sz="6" w:space="0" w:color="000000"/>
              <w:end w:val="single" w:sz="6" w:space="0" w:color="008000"/>
            </w:tcBorders>
            <w:shd w:fill="FFFFBF" w:val="clear"/>
          </w:tcPr>
          <w:p>
            <w:pPr>
              <w:pStyle w:val="Normal"/>
              <w:jc w:val="both"/>
              <w:rPr/>
            </w:pPr>
            <w:r>
              <w:rPr/>
              <w:t>$         32.00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both"/>
              <w:rPr>
                <w:b/>
              </w:rPr>
            </w:pPr>
            <w:r>
              <w:rPr>
                <w:b/>
              </w:rPr>
              <w:t>Model Price</w:t>
            </w:r>
          </w:p>
        </w:tc>
        <w:tc>
          <w:tcPr>
            <w:tcW w:w="900" w:type="dxa"/>
            <w:tcBorders>
              <w:top w:val="single" w:sz="6" w:space="0" w:color="000000"/>
              <w:bottom w:val="single" w:sz="6" w:space="0" w:color="000000"/>
            </w:tcBorders>
            <w:shd w:fill="CCCCCC" w:val="clear"/>
          </w:tcPr>
          <w:p>
            <w:pPr>
              <w:pStyle w:val="Normal"/>
              <w:jc w:val="both"/>
              <w:rPr/>
            </w:pPr>
            <w:r>
              <w:rPr/>
              <w:t>$   18.59</w:t>
            </w:r>
          </w:p>
        </w:tc>
        <w:tc>
          <w:tcPr>
            <w:tcW w:w="1080" w:type="dxa"/>
            <w:tcBorders>
              <w:top w:val="single" w:sz="6" w:space="0" w:color="000000"/>
              <w:bottom w:val="single" w:sz="6" w:space="0" w:color="000000"/>
            </w:tcBorders>
            <w:shd w:fill="CCCCCC" w:val="clear"/>
          </w:tcPr>
          <w:p>
            <w:pPr>
              <w:pStyle w:val="Normal"/>
              <w:jc w:val="both"/>
              <w:rPr/>
            </w:pPr>
            <w:r>
              <w:rPr/>
              <w:t>$         19.95</w:t>
            </w:r>
          </w:p>
        </w:tc>
        <w:tc>
          <w:tcPr>
            <w:tcW w:w="1170" w:type="dxa"/>
            <w:tcBorders>
              <w:top w:val="single" w:sz="6" w:space="0" w:color="000000"/>
              <w:bottom w:val="single" w:sz="6" w:space="0" w:color="000000"/>
            </w:tcBorders>
            <w:shd w:fill="CCCCCC" w:val="clear"/>
          </w:tcPr>
          <w:p>
            <w:pPr>
              <w:pStyle w:val="Normal"/>
              <w:jc w:val="both"/>
              <w:rPr/>
            </w:pPr>
            <w:r>
              <w:rPr/>
              <w:t>$      20.41</w:t>
            </w:r>
          </w:p>
        </w:tc>
        <w:tc>
          <w:tcPr>
            <w:tcW w:w="1080" w:type="dxa"/>
            <w:tcBorders>
              <w:top w:val="single" w:sz="6" w:space="0" w:color="000000"/>
              <w:bottom w:val="single" w:sz="6" w:space="0" w:color="000000"/>
            </w:tcBorders>
            <w:shd w:fill="CCCCCC" w:val="clear"/>
          </w:tcPr>
          <w:p>
            <w:pPr>
              <w:pStyle w:val="Normal"/>
              <w:jc w:val="both"/>
              <w:rPr/>
            </w:pPr>
            <w:r>
              <w:rPr/>
              <w:t>$       22.67</w:t>
            </w:r>
          </w:p>
        </w:tc>
        <w:tc>
          <w:tcPr>
            <w:tcW w:w="927" w:type="dxa"/>
            <w:tcBorders>
              <w:top w:val="single" w:sz="6" w:space="0" w:color="000000"/>
              <w:bottom w:val="single" w:sz="6" w:space="0" w:color="000000"/>
            </w:tcBorders>
            <w:shd w:fill="CCCCCC" w:val="clear"/>
          </w:tcPr>
          <w:p>
            <w:pPr>
              <w:pStyle w:val="Normal"/>
              <w:jc w:val="both"/>
              <w:rPr/>
            </w:pPr>
            <w:r>
              <w:rPr/>
              <w:t>$  19.50</w:t>
            </w:r>
          </w:p>
        </w:tc>
        <w:tc>
          <w:tcPr>
            <w:tcW w:w="1080" w:type="dxa"/>
            <w:tcBorders>
              <w:top w:val="single" w:sz="6" w:space="0" w:color="000000"/>
              <w:bottom w:val="single" w:sz="6" w:space="0" w:color="000000"/>
            </w:tcBorders>
            <w:shd w:fill="CCCCCC" w:val="clear"/>
          </w:tcPr>
          <w:p>
            <w:pPr>
              <w:pStyle w:val="Normal"/>
              <w:jc w:val="both"/>
              <w:rPr/>
            </w:pPr>
            <w:r>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rPr>
            </w:pPr>
            <w:r>
              <w:rPr>
                <w:b/>
              </w:rPr>
              <w:t>Model Price</w:t>
            </w:r>
          </w:p>
        </w:tc>
        <w:tc>
          <w:tcPr>
            <w:tcW w:w="900" w:type="dxa"/>
            <w:tcBorders>
              <w:top w:val="single" w:sz="6" w:space="0" w:color="000000"/>
              <w:bottom w:val="single" w:sz="6" w:space="0" w:color="000000"/>
            </w:tcBorders>
            <w:shd w:fill="FFFFBF" w:val="clear"/>
          </w:tcPr>
          <w:p>
            <w:pPr>
              <w:pStyle w:val="Normal"/>
              <w:jc w:val="both"/>
              <w:rPr/>
            </w:pPr>
            <w:r>
              <w:rPr/>
              <w:t>$   10.71</w:t>
            </w:r>
          </w:p>
        </w:tc>
        <w:tc>
          <w:tcPr>
            <w:tcW w:w="1080" w:type="dxa"/>
            <w:tcBorders>
              <w:top w:val="single" w:sz="6" w:space="0" w:color="000000"/>
              <w:bottom w:val="single" w:sz="6" w:space="0" w:color="000000"/>
            </w:tcBorders>
            <w:shd w:fill="FFFFBF" w:val="clear"/>
          </w:tcPr>
          <w:p>
            <w:pPr>
              <w:pStyle w:val="Normal"/>
              <w:jc w:val="both"/>
              <w:rPr/>
            </w:pPr>
            <w:r>
              <w:rPr/>
              <w:t>$         13.62</w:t>
            </w:r>
          </w:p>
        </w:tc>
        <w:tc>
          <w:tcPr>
            <w:tcW w:w="1170" w:type="dxa"/>
            <w:tcBorders>
              <w:top w:val="single" w:sz="6" w:space="0" w:color="000000"/>
              <w:bottom w:val="single" w:sz="6" w:space="0" w:color="000000"/>
            </w:tcBorders>
            <w:shd w:fill="FFFFBF" w:val="clear"/>
          </w:tcPr>
          <w:p>
            <w:pPr>
              <w:pStyle w:val="Normal"/>
              <w:jc w:val="both"/>
              <w:rPr/>
            </w:pPr>
            <w:r>
              <w:rPr/>
              <w:t>$      14.59</w:t>
            </w:r>
          </w:p>
        </w:tc>
        <w:tc>
          <w:tcPr>
            <w:tcW w:w="1080" w:type="dxa"/>
            <w:tcBorders>
              <w:top w:val="single" w:sz="6" w:space="0" w:color="000000"/>
              <w:bottom w:val="single" w:sz="6" w:space="0" w:color="000000"/>
            </w:tcBorders>
            <w:shd w:fill="FFFFBF" w:val="clear"/>
          </w:tcPr>
          <w:p>
            <w:pPr>
              <w:pStyle w:val="Normal"/>
              <w:jc w:val="both"/>
              <w:rPr/>
            </w:pPr>
            <w:r>
              <w:rPr/>
              <w:t>$       19.44</w:t>
            </w:r>
          </w:p>
        </w:tc>
        <w:tc>
          <w:tcPr>
            <w:tcW w:w="927" w:type="dxa"/>
            <w:tcBorders>
              <w:top w:val="single" w:sz="6" w:space="0" w:color="000000"/>
              <w:bottom w:val="single" w:sz="6" w:space="0" w:color="000000"/>
            </w:tcBorders>
            <w:shd w:fill="FFFFBF" w:val="clear"/>
          </w:tcPr>
          <w:p>
            <w:pPr>
              <w:pStyle w:val="Normal"/>
              <w:jc w:val="both"/>
              <w:rPr/>
            </w:pPr>
            <w:r>
              <w:rPr/>
              <w:t>$  16.77</w:t>
            </w:r>
          </w:p>
        </w:tc>
        <w:tc>
          <w:tcPr>
            <w:tcW w:w="1080" w:type="dxa"/>
            <w:tcBorders>
              <w:top w:val="single" w:sz="6" w:space="0" w:color="000000"/>
              <w:bottom w:val="single" w:sz="6" w:space="0" w:color="000000"/>
            </w:tcBorders>
            <w:shd w:fill="FFFFBF" w:val="clear"/>
          </w:tcPr>
          <w:p>
            <w:pPr>
              <w:pStyle w:val="Normal"/>
              <w:jc w:val="both"/>
              <w:rPr/>
            </w:pPr>
            <w:r>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both"/>
              <w:rPr>
                <w:b/>
              </w:rPr>
            </w:pPr>
            <w:r>
              <w:rPr>
                <w:b/>
              </w:rPr>
              <w:t>Model Price</w:t>
            </w:r>
          </w:p>
        </w:tc>
        <w:tc>
          <w:tcPr>
            <w:tcW w:w="900" w:type="dxa"/>
            <w:tcBorders>
              <w:top w:val="single" w:sz="6" w:space="0" w:color="000000"/>
              <w:bottom w:val="single" w:sz="6" w:space="0" w:color="000000"/>
            </w:tcBorders>
            <w:shd w:fill="CCCCCC" w:val="clear"/>
          </w:tcPr>
          <w:p>
            <w:pPr>
              <w:pStyle w:val="Normal"/>
              <w:jc w:val="both"/>
              <w:rPr>
                <w:b/>
                <w:color w:val="FF0000"/>
              </w:rPr>
            </w:pPr>
            <w:r>
              <w:rPr>
                <w:b/>
                <w:color w:val="FF0000"/>
              </w:rPr>
              <w:t>$   (2.82)</w:t>
            </w:r>
          </w:p>
        </w:tc>
        <w:tc>
          <w:tcPr>
            <w:tcW w:w="1080" w:type="dxa"/>
            <w:tcBorders>
              <w:top w:val="single" w:sz="6" w:space="0" w:color="000000"/>
              <w:bottom w:val="single" w:sz="6" w:space="0" w:color="000000"/>
            </w:tcBorders>
            <w:shd w:fill="CCCCCC" w:val="clear"/>
          </w:tcPr>
          <w:p>
            <w:pPr>
              <w:pStyle w:val="Normal"/>
              <w:jc w:val="both"/>
              <w:rPr/>
            </w:pPr>
            <w:r>
              <w:rPr/>
              <w:t>$           3.26</w:t>
            </w:r>
          </w:p>
        </w:tc>
        <w:tc>
          <w:tcPr>
            <w:tcW w:w="1170" w:type="dxa"/>
            <w:tcBorders>
              <w:top w:val="single" w:sz="6" w:space="0" w:color="000000"/>
              <w:bottom w:val="single" w:sz="6" w:space="0" w:color="000000"/>
            </w:tcBorders>
            <w:shd w:fill="CCCCCC" w:val="clear"/>
          </w:tcPr>
          <w:p>
            <w:pPr>
              <w:pStyle w:val="Normal"/>
              <w:jc w:val="both"/>
              <w:rPr/>
            </w:pPr>
            <w:r>
              <w:rPr/>
              <w:t>$        5.29</w:t>
            </w:r>
          </w:p>
        </w:tc>
        <w:tc>
          <w:tcPr>
            <w:tcW w:w="1080" w:type="dxa"/>
            <w:tcBorders>
              <w:top w:val="single" w:sz="6" w:space="0" w:color="000000"/>
              <w:bottom w:val="single" w:sz="6" w:space="0" w:color="000000"/>
            </w:tcBorders>
            <w:shd w:fill="CCCCCC" w:val="clear"/>
          </w:tcPr>
          <w:p>
            <w:pPr>
              <w:pStyle w:val="Normal"/>
              <w:jc w:val="both"/>
              <w:rPr/>
            </w:pPr>
            <w:r>
              <w:rPr/>
              <w:t>$       15.44</w:t>
            </w:r>
          </w:p>
        </w:tc>
        <w:tc>
          <w:tcPr>
            <w:tcW w:w="927" w:type="dxa"/>
            <w:tcBorders>
              <w:top w:val="single" w:sz="6" w:space="0" w:color="000000"/>
              <w:bottom w:val="single" w:sz="6" w:space="0" w:color="000000"/>
            </w:tcBorders>
            <w:shd w:fill="CCCCCC" w:val="clear"/>
          </w:tcPr>
          <w:p>
            <w:pPr>
              <w:pStyle w:val="Normal"/>
              <w:jc w:val="both"/>
              <w:rPr/>
            </w:pPr>
            <w:r>
              <w:rPr/>
              <w:t>$  13.83</w:t>
            </w:r>
          </w:p>
        </w:tc>
        <w:tc>
          <w:tcPr>
            <w:tcW w:w="1080" w:type="dxa"/>
            <w:tcBorders>
              <w:top w:val="single" w:sz="6" w:space="0" w:color="000000"/>
              <w:bottom w:val="single" w:sz="6" w:space="0" w:color="000000"/>
            </w:tcBorders>
            <w:shd w:fill="CCCCCC" w:val="clear"/>
          </w:tcPr>
          <w:p>
            <w:pPr>
              <w:pStyle w:val="Normal"/>
              <w:jc w:val="both"/>
              <w:rPr/>
            </w:pPr>
            <w:r>
              <w:rPr/>
              <w:t>$  200.00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vertAlign w:val="subscript"/>
              </w:rPr>
            </w:pPr>
            <w:r>
              <w:rPr>
                <w:b/>
                <w:vertAlign w:val="subscript"/>
              </w:rPr>
            </w:r>
            <m:oMathPara xmlns:m="http://schemas.openxmlformats.org/officeDocument/2006/math">
              <m:oMathParaPr>
                <m:jc m:val="left"/>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both"/>
              <w:rPr/>
            </w:pPr>
            <w:r>
              <w:rPr/>
              <w:t>$ 223.56</w:t>
            </w:r>
          </w:p>
        </w:tc>
        <w:tc>
          <w:tcPr>
            <w:tcW w:w="1080" w:type="dxa"/>
            <w:tcBorders>
              <w:top w:val="single" w:sz="6" w:space="0" w:color="000000"/>
              <w:bottom w:val="single" w:sz="6" w:space="0" w:color="000000"/>
            </w:tcBorders>
            <w:shd w:fill="FFFFBF" w:val="clear"/>
          </w:tcPr>
          <w:p>
            <w:pPr>
              <w:pStyle w:val="Normal"/>
              <w:jc w:val="both"/>
              <w:rPr/>
            </w:pPr>
            <w:r>
              <w:rPr/>
              <w:t>$       307.24</w:t>
            </w:r>
          </w:p>
        </w:tc>
        <w:tc>
          <w:tcPr>
            <w:tcW w:w="1170" w:type="dxa"/>
            <w:tcBorders>
              <w:top w:val="single" w:sz="6" w:space="0" w:color="000000"/>
              <w:bottom w:val="single" w:sz="6" w:space="0" w:color="000000"/>
            </w:tcBorders>
            <w:shd w:fill="FFFFBF" w:val="clear"/>
          </w:tcPr>
          <w:p>
            <w:pPr>
              <w:pStyle w:val="Normal"/>
              <w:jc w:val="both"/>
              <w:rPr/>
            </w:pPr>
            <w:r>
              <w:rPr/>
              <w:t>$    353.73</w:t>
            </w:r>
          </w:p>
        </w:tc>
        <w:tc>
          <w:tcPr>
            <w:tcW w:w="1080" w:type="dxa"/>
            <w:tcBorders>
              <w:top w:val="single" w:sz="6" w:space="0" w:color="000000"/>
              <w:bottom w:val="single" w:sz="6" w:space="0" w:color="000000"/>
            </w:tcBorders>
            <w:shd w:fill="FFFFBF" w:val="clear"/>
          </w:tcPr>
          <w:p>
            <w:pPr>
              <w:pStyle w:val="Normal"/>
              <w:jc w:val="both"/>
              <w:rPr/>
            </w:pPr>
            <w:r>
              <w:rPr/>
              <w:t>$  1,980.88</w:t>
            </w:r>
          </w:p>
        </w:tc>
        <w:tc>
          <w:tcPr>
            <w:tcW w:w="927" w:type="dxa"/>
            <w:tcBorders>
              <w:top w:val="single" w:sz="6" w:space="0" w:color="000000"/>
              <w:bottom w:val="single" w:sz="6" w:space="0" w:color="000000"/>
            </w:tcBorders>
            <w:shd w:fill="FFFFBF" w:val="clear"/>
          </w:tcPr>
          <w:p>
            <w:pPr>
              <w:pStyle w:val="Normal"/>
              <w:snapToGrid w:val="false"/>
              <w:jc w:val="both"/>
              <w:rPr/>
            </w:pPr>
            <w:r>
              <w:rPr/>
            </w:r>
          </w:p>
        </w:tc>
        <w:tc>
          <w:tcPr>
            <w:tcW w:w="1080" w:type="dxa"/>
            <w:tcBorders>
              <w:top w:val="single" w:sz="6" w:space="0" w:color="000000"/>
              <w:bottom w:val="single" w:sz="6" w:space="0" w:color="000000"/>
            </w:tcBorders>
            <w:shd w:fill="FFFFBF" w:val="clear"/>
          </w:tcPr>
          <w:p>
            <w:pPr>
              <w:pStyle w:val="Normal"/>
              <w:snapToGrid w:val="false"/>
              <w:jc w:val="both"/>
              <w:rPr/>
            </w:pPr>
            <w:r>
              <w:rPr/>
            </w:r>
          </w:p>
        </w:tc>
        <w:tc>
          <w:tcPr>
            <w:tcW w:w="1320" w:type="dxa"/>
            <w:tcBorders>
              <w:top w:val="single" w:sz="6" w:space="0" w:color="000000"/>
              <w:bottom w:val="single" w:sz="6" w:space="0" w:color="000000"/>
              <w:end w:val="single" w:sz="6" w:space="0" w:color="008000"/>
            </w:tcBorders>
            <w:shd w:fill="FFFFBF" w:val="clear"/>
          </w:tcPr>
          <w:p>
            <w:pPr>
              <w:pStyle w:val="Normal"/>
              <w:jc w:val="both"/>
              <w:rPr/>
            </w:pPr>
            <w:r>
              <w:rPr/>
              <w:t>$         50.00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both"/>
              <w:rPr>
                <w:b/>
              </w:rPr>
            </w:pPr>
            <w:r>
              <w:rPr>
                <w:b/>
              </w:rPr>
              <w:t>Model Price</w:t>
            </w:r>
          </w:p>
        </w:tc>
        <w:tc>
          <w:tcPr>
            <w:tcW w:w="900" w:type="dxa"/>
            <w:tcBorders>
              <w:top w:val="single" w:sz="6" w:space="0" w:color="000000"/>
              <w:bottom w:val="single" w:sz="6" w:space="0" w:color="000000"/>
            </w:tcBorders>
            <w:shd w:fill="CCCCCC" w:val="clear"/>
          </w:tcPr>
          <w:p>
            <w:pPr>
              <w:pStyle w:val="Normal"/>
              <w:jc w:val="both"/>
              <w:rPr/>
            </w:pPr>
            <w:r>
              <w:rPr/>
              <w:t>$   36.28</w:t>
            </w:r>
          </w:p>
        </w:tc>
        <w:tc>
          <w:tcPr>
            <w:tcW w:w="1080" w:type="dxa"/>
            <w:tcBorders>
              <w:top w:val="single" w:sz="6" w:space="0" w:color="000000"/>
              <w:bottom w:val="single" w:sz="6" w:space="0" w:color="000000"/>
            </w:tcBorders>
            <w:shd w:fill="CCCCCC" w:val="clear"/>
          </w:tcPr>
          <w:p>
            <w:pPr>
              <w:pStyle w:val="Normal"/>
              <w:jc w:val="both"/>
              <w:rPr/>
            </w:pPr>
            <w:r>
              <w:rPr/>
              <w:t>$         37.64</w:t>
            </w:r>
          </w:p>
        </w:tc>
        <w:tc>
          <w:tcPr>
            <w:tcW w:w="1170" w:type="dxa"/>
            <w:tcBorders>
              <w:top w:val="single" w:sz="6" w:space="0" w:color="000000"/>
              <w:bottom w:val="single" w:sz="6" w:space="0" w:color="000000"/>
            </w:tcBorders>
            <w:shd w:fill="CCCCCC" w:val="clear"/>
          </w:tcPr>
          <w:p>
            <w:pPr>
              <w:pStyle w:val="Normal"/>
              <w:jc w:val="both"/>
              <w:rPr/>
            </w:pPr>
            <w:r>
              <w:rPr/>
              <w:t>$      38.10</w:t>
            </w:r>
          </w:p>
        </w:tc>
        <w:tc>
          <w:tcPr>
            <w:tcW w:w="1080" w:type="dxa"/>
            <w:tcBorders>
              <w:top w:val="single" w:sz="6" w:space="0" w:color="000000"/>
              <w:bottom w:val="single" w:sz="6" w:space="0" w:color="000000"/>
            </w:tcBorders>
            <w:shd w:fill="CCCCCC" w:val="clear"/>
          </w:tcPr>
          <w:p>
            <w:pPr>
              <w:pStyle w:val="Normal"/>
              <w:jc w:val="both"/>
              <w:rPr/>
            </w:pPr>
            <w:r>
              <w:rPr/>
              <w:t>$       40.37</w:t>
            </w:r>
          </w:p>
        </w:tc>
        <w:tc>
          <w:tcPr>
            <w:tcW w:w="927" w:type="dxa"/>
            <w:tcBorders>
              <w:top w:val="single" w:sz="6" w:space="0" w:color="000000"/>
              <w:bottom w:val="single" w:sz="6" w:space="0" w:color="000000"/>
            </w:tcBorders>
            <w:shd w:fill="CCCCCC" w:val="clear"/>
          </w:tcPr>
          <w:p>
            <w:pPr>
              <w:pStyle w:val="Normal"/>
              <w:jc w:val="both"/>
              <w:rPr/>
            </w:pPr>
            <w:r>
              <w:rPr/>
              <w:t>$  19.50</w:t>
            </w:r>
          </w:p>
        </w:tc>
        <w:tc>
          <w:tcPr>
            <w:tcW w:w="1080" w:type="dxa"/>
            <w:tcBorders>
              <w:top w:val="single" w:sz="6" w:space="0" w:color="000000"/>
              <w:bottom w:val="single" w:sz="6" w:space="0" w:color="000000"/>
            </w:tcBorders>
            <w:shd w:fill="CCCCCC" w:val="clear"/>
          </w:tcPr>
          <w:p>
            <w:pPr>
              <w:pStyle w:val="Normal"/>
              <w:jc w:val="both"/>
              <w:rPr/>
            </w:pPr>
            <w:r>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rPr>
            </w:pPr>
            <w:r>
              <w:rPr>
                <w:b/>
              </w:rPr>
              <w:t>Model Price</w:t>
            </w:r>
          </w:p>
        </w:tc>
        <w:tc>
          <w:tcPr>
            <w:tcW w:w="900" w:type="dxa"/>
            <w:tcBorders>
              <w:top w:val="single" w:sz="6" w:space="0" w:color="000000"/>
              <w:bottom w:val="single" w:sz="6" w:space="0" w:color="000000"/>
            </w:tcBorders>
            <w:shd w:fill="FFFFBF" w:val="clear"/>
          </w:tcPr>
          <w:p>
            <w:pPr>
              <w:pStyle w:val="Normal"/>
              <w:jc w:val="both"/>
              <w:rPr/>
            </w:pPr>
            <w:r>
              <w:rPr/>
              <w:t>$   28.40</w:t>
            </w:r>
          </w:p>
        </w:tc>
        <w:tc>
          <w:tcPr>
            <w:tcW w:w="1080" w:type="dxa"/>
            <w:tcBorders>
              <w:top w:val="single" w:sz="6" w:space="0" w:color="000000"/>
              <w:bottom w:val="single" w:sz="6" w:space="0" w:color="000000"/>
            </w:tcBorders>
            <w:shd w:fill="FFFFBF" w:val="clear"/>
          </w:tcPr>
          <w:p>
            <w:pPr>
              <w:pStyle w:val="Normal"/>
              <w:jc w:val="both"/>
              <w:rPr/>
            </w:pPr>
            <w:r>
              <w:rPr/>
              <w:t>$         31.31</w:t>
            </w:r>
          </w:p>
        </w:tc>
        <w:tc>
          <w:tcPr>
            <w:tcW w:w="1170" w:type="dxa"/>
            <w:tcBorders>
              <w:top w:val="single" w:sz="6" w:space="0" w:color="000000"/>
              <w:bottom w:val="single" w:sz="6" w:space="0" w:color="000000"/>
            </w:tcBorders>
            <w:shd w:fill="FFFFBF" w:val="clear"/>
          </w:tcPr>
          <w:p>
            <w:pPr>
              <w:pStyle w:val="Normal"/>
              <w:jc w:val="both"/>
              <w:rPr/>
            </w:pPr>
            <w:r>
              <w:rPr/>
              <w:t>$      32.28</w:t>
            </w:r>
          </w:p>
        </w:tc>
        <w:tc>
          <w:tcPr>
            <w:tcW w:w="1080" w:type="dxa"/>
            <w:tcBorders>
              <w:top w:val="single" w:sz="6" w:space="0" w:color="000000"/>
              <w:bottom w:val="single" w:sz="6" w:space="0" w:color="000000"/>
            </w:tcBorders>
            <w:shd w:fill="FFFFBF" w:val="clear"/>
          </w:tcPr>
          <w:p>
            <w:pPr>
              <w:pStyle w:val="Normal"/>
              <w:jc w:val="both"/>
              <w:rPr/>
            </w:pPr>
            <w:r>
              <w:rPr/>
              <w:t>$       37.13</w:t>
            </w:r>
          </w:p>
        </w:tc>
        <w:tc>
          <w:tcPr>
            <w:tcW w:w="927" w:type="dxa"/>
            <w:tcBorders>
              <w:top w:val="single" w:sz="6" w:space="0" w:color="000000"/>
              <w:bottom w:val="single" w:sz="6" w:space="0" w:color="000000"/>
            </w:tcBorders>
            <w:shd w:fill="FFFFBF" w:val="clear"/>
          </w:tcPr>
          <w:p>
            <w:pPr>
              <w:pStyle w:val="Normal"/>
              <w:jc w:val="both"/>
              <w:rPr/>
            </w:pPr>
            <w:r>
              <w:rPr/>
              <w:t>$  16.77</w:t>
            </w:r>
          </w:p>
        </w:tc>
        <w:tc>
          <w:tcPr>
            <w:tcW w:w="1080" w:type="dxa"/>
            <w:tcBorders>
              <w:top w:val="single" w:sz="6" w:space="0" w:color="000000"/>
              <w:bottom w:val="single" w:sz="6" w:space="0" w:color="000000"/>
            </w:tcBorders>
            <w:shd w:fill="FFFFBF" w:val="clear"/>
          </w:tcPr>
          <w:p>
            <w:pPr>
              <w:pStyle w:val="Normal"/>
              <w:jc w:val="both"/>
              <w:rPr/>
            </w:pPr>
            <w:r>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both"/>
              <w:rPr>
                <w:b/>
              </w:rPr>
            </w:pPr>
            <w:r>
              <w:rPr>
                <w:b/>
              </w:rPr>
              <w:t>Model Price</w:t>
            </w:r>
          </w:p>
        </w:tc>
        <w:tc>
          <w:tcPr>
            <w:tcW w:w="900" w:type="dxa"/>
            <w:tcBorders>
              <w:top w:val="single" w:sz="6" w:space="0" w:color="000000"/>
              <w:bottom w:val="single" w:sz="6" w:space="0" w:color="000000"/>
            </w:tcBorders>
            <w:shd w:fill="CCCCCC" w:val="clear"/>
          </w:tcPr>
          <w:p>
            <w:pPr>
              <w:pStyle w:val="Normal"/>
              <w:jc w:val="both"/>
              <w:rPr/>
            </w:pPr>
            <w:r>
              <w:rPr/>
              <w:t>$   14.87</w:t>
            </w:r>
          </w:p>
        </w:tc>
        <w:tc>
          <w:tcPr>
            <w:tcW w:w="1080" w:type="dxa"/>
            <w:tcBorders>
              <w:top w:val="single" w:sz="6" w:space="0" w:color="000000"/>
              <w:bottom w:val="single" w:sz="6" w:space="0" w:color="000000"/>
            </w:tcBorders>
            <w:shd w:fill="CCCCCC" w:val="clear"/>
          </w:tcPr>
          <w:p>
            <w:pPr>
              <w:pStyle w:val="Normal"/>
              <w:jc w:val="both"/>
              <w:rPr/>
            </w:pPr>
            <w:r>
              <w:rPr/>
              <w:t>$         20.96</w:t>
            </w:r>
          </w:p>
        </w:tc>
        <w:tc>
          <w:tcPr>
            <w:tcW w:w="1170" w:type="dxa"/>
            <w:tcBorders>
              <w:top w:val="single" w:sz="6" w:space="0" w:color="000000"/>
              <w:bottom w:val="single" w:sz="6" w:space="0" w:color="000000"/>
            </w:tcBorders>
            <w:shd w:fill="CCCCCC" w:val="clear"/>
          </w:tcPr>
          <w:p>
            <w:pPr>
              <w:pStyle w:val="Normal"/>
              <w:jc w:val="both"/>
              <w:rPr/>
            </w:pPr>
            <w:r>
              <w:rPr/>
              <w:t>$      22.98</w:t>
            </w:r>
          </w:p>
        </w:tc>
        <w:tc>
          <w:tcPr>
            <w:tcW w:w="1080" w:type="dxa"/>
            <w:tcBorders>
              <w:top w:val="single" w:sz="6" w:space="0" w:color="000000"/>
              <w:bottom w:val="single" w:sz="6" w:space="0" w:color="000000"/>
            </w:tcBorders>
            <w:shd w:fill="CCCCCC" w:val="clear"/>
          </w:tcPr>
          <w:p>
            <w:pPr>
              <w:pStyle w:val="Normal"/>
              <w:jc w:val="both"/>
              <w:rPr/>
            </w:pPr>
            <w:r>
              <w:rPr/>
              <w:t>$       33.13</w:t>
            </w:r>
          </w:p>
        </w:tc>
        <w:tc>
          <w:tcPr>
            <w:tcW w:w="927" w:type="dxa"/>
            <w:tcBorders>
              <w:top w:val="single" w:sz="6" w:space="0" w:color="000000"/>
              <w:bottom w:val="single" w:sz="6" w:space="0" w:color="000000"/>
            </w:tcBorders>
            <w:shd w:fill="CCCCCC" w:val="clear"/>
          </w:tcPr>
          <w:p>
            <w:pPr>
              <w:pStyle w:val="Normal"/>
              <w:jc w:val="both"/>
              <w:rPr/>
            </w:pPr>
            <w:r>
              <w:rPr/>
              <w:t>$  13.83</w:t>
            </w:r>
          </w:p>
        </w:tc>
        <w:tc>
          <w:tcPr>
            <w:tcW w:w="1080" w:type="dxa"/>
            <w:tcBorders>
              <w:top w:val="single" w:sz="6" w:space="0" w:color="000000"/>
              <w:bottom w:val="single" w:sz="6" w:space="0" w:color="000000"/>
            </w:tcBorders>
            <w:shd w:fill="CCCCCC" w:val="clear"/>
          </w:tcPr>
          <w:p>
            <w:pPr>
              <w:pStyle w:val="Normal"/>
              <w:jc w:val="both"/>
              <w:rPr/>
            </w:pPr>
            <w:r>
              <w:rPr/>
              <w:t>$  200.00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vertAlign w:val="subscript"/>
              </w:rPr>
            </w:pPr>
            <w:r>
              <w:rPr>
                <w:b/>
                <w:vertAlign w:val="subscript"/>
              </w:rPr>
            </w:r>
            <m:oMathPara xmlns:m="http://schemas.openxmlformats.org/officeDocument/2006/math">
              <m:oMathParaPr>
                <m:jc m:val="left"/>
              </m:oMathParaPr>
              <m:oMath>
                <m:sSub>
                  <m:e>
                    <m:r>
                      <m:t xml:space="preserve">F</m:t>
                    </m:r>
                  </m:e>
                  <m:sub>
                    <m:r>
                      <m:t xml:space="preserve">S</m:t>
                    </m:r>
                  </m:sub>
                </m:sSub>
              </m:oMath>
            </m:oMathPara>
          </w:p>
        </w:tc>
        <w:tc>
          <w:tcPr>
            <w:tcW w:w="900" w:type="dxa"/>
            <w:tcBorders>
              <w:top w:val="single" w:sz="6" w:space="0" w:color="000000"/>
              <w:bottom w:val="single" w:sz="6" w:space="0" w:color="000000"/>
            </w:tcBorders>
            <w:shd w:fill="FFFFBF" w:val="clear"/>
          </w:tcPr>
          <w:p>
            <w:pPr>
              <w:pStyle w:val="Normal"/>
              <w:jc w:val="both"/>
              <w:rPr/>
            </w:pPr>
            <w:r>
              <w:rPr/>
              <w:t>$ 673.56</w:t>
            </w:r>
          </w:p>
        </w:tc>
        <w:tc>
          <w:tcPr>
            <w:tcW w:w="1080" w:type="dxa"/>
            <w:tcBorders>
              <w:top w:val="single" w:sz="6" w:space="0" w:color="000000"/>
              <w:bottom w:val="single" w:sz="6" w:space="0" w:color="000000"/>
            </w:tcBorders>
            <w:shd w:fill="FFFFBF" w:val="clear"/>
          </w:tcPr>
          <w:p>
            <w:pPr>
              <w:pStyle w:val="Normal"/>
              <w:jc w:val="both"/>
              <w:rPr/>
            </w:pPr>
            <w:r>
              <w:rPr/>
              <w:t>$       950.10</w:t>
            </w:r>
          </w:p>
        </w:tc>
        <w:tc>
          <w:tcPr>
            <w:tcW w:w="1170" w:type="dxa"/>
            <w:tcBorders>
              <w:top w:val="single" w:sz="6" w:space="0" w:color="000000"/>
              <w:bottom w:val="single" w:sz="6" w:space="0" w:color="000000"/>
            </w:tcBorders>
            <w:shd w:fill="FFFFBF" w:val="clear"/>
          </w:tcPr>
          <w:p>
            <w:pPr>
              <w:pStyle w:val="Normal"/>
              <w:jc w:val="both"/>
              <w:rPr/>
            </w:pPr>
            <w:r>
              <w:rPr/>
              <w:t>$ 1,103.73</w:t>
            </w:r>
          </w:p>
        </w:tc>
        <w:tc>
          <w:tcPr>
            <w:tcW w:w="1080" w:type="dxa"/>
            <w:tcBorders>
              <w:top w:val="single" w:sz="6" w:space="0" w:color="000000"/>
              <w:bottom w:val="single" w:sz="6" w:space="0" w:color="000000"/>
            </w:tcBorders>
            <w:shd w:fill="FFFFBF" w:val="clear"/>
          </w:tcPr>
          <w:p>
            <w:pPr>
              <w:pStyle w:val="Normal"/>
              <w:jc w:val="both"/>
              <w:rPr/>
            </w:pPr>
            <w:r>
              <w:rPr/>
              <w:t>$  6,480.88</w:t>
            </w:r>
          </w:p>
        </w:tc>
        <w:tc>
          <w:tcPr>
            <w:tcW w:w="927" w:type="dxa"/>
            <w:tcBorders>
              <w:top w:val="single" w:sz="6" w:space="0" w:color="000000"/>
              <w:bottom w:val="single" w:sz="6" w:space="0" w:color="000000"/>
            </w:tcBorders>
            <w:shd w:fill="FFFFBF" w:val="clear"/>
          </w:tcPr>
          <w:p>
            <w:pPr>
              <w:pStyle w:val="Normal"/>
              <w:snapToGrid w:val="false"/>
              <w:jc w:val="both"/>
              <w:rPr/>
            </w:pPr>
            <w:r>
              <w:rPr/>
            </w:r>
          </w:p>
        </w:tc>
        <w:tc>
          <w:tcPr>
            <w:tcW w:w="1080" w:type="dxa"/>
            <w:tcBorders>
              <w:top w:val="single" w:sz="6" w:space="0" w:color="000000"/>
              <w:bottom w:val="single" w:sz="6" w:space="0" w:color="000000"/>
            </w:tcBorders>
            <w:shd w:fill="FFFFBF" w:val="clear"/>
          </w:tcPr>
          <w:p>
            <w:pPr>
              <w:pStyle w:val="Normal"/>
              <w:snapToGrid w:val="false"/>
              <w:jc w:val="both"/>
              <w:rPr/>
            </w:pPr>
            <w:r>
              <w:rPr/>
            </w:r>
          </w:p>
        </w:tc>
        <w:tc>
          <w:tcPr>
            <w:tcW w:w="1320" w:type="dxa"/>
            <w:tcBorders>
              <w:top w:val="single" w:sz="6" w:space="0" w:color="000000"/>
              <w:bottom w:val="single" w:sz="6" w:space="0" w:color="000000"/>
              <w:end w:val="single" w:sz="6" w:space="0" w:color="008000"/>
            </w:tcBorders>
            <w:shd w:fill="FFFFBF" w:val="clear"/>
          </w:tcPr>
          <w:p>
            <w:pPr>
              <w:pStyle w:val="Normal"/>
              <w:jc w:val="both"/>
              <w:rPr/>
            </w:pPr>
            <w:r>
              <w:rPr/>
              <w:t>$       100.00</w:t>
            </w:r>
          </w:p>
        </w:tc>
      </w:tr>
      <w:tr>
        <w:trPr>
          <w:trHeight w:val="218" w:hRule="atLeast"/>
        </w:trPr>
        <w:tc>
          <w:tcPr>
            <w:tcW w:w="1204" w:type="dxa"/>
            <w:tcBorders>
              <w:top w:val="single" w:sz="6" w:space="0" w:color="000000"/>
              <w:start w:val="single" w:sz="6" w:space="0" w:color="008000"/>
              <w:bottom w:val="single" w:sz="6" w:space="0" w:color="000000"/>
            </w:tcBorders>
            <w:shd w:fill="CCCCCC" w:val="clear"/>
          </w:tcPr>
          <w:p>
            <w:pPr>
              <w:pStyle w:val="Normal"/>
              <w:jc w:val="both"/>
              <w:rPr>
                <w:b/>
              </w:rPr>
            </w:pPr>
            <w:r>
              <w:rPr>
                <w:b/>
              </w:rPr>
              <w:t>Model Price</w:t>
            </w:r>
          </w:p>
        </w:tc>
        <w:tc>
          <w:tcPr>
            <w:tcW w:w="900" w:type="dxa"/>
            <w:tcBorders>
              <w:top w:val="single" w:sz="6" w:space="0" w:color="000000"/>
              <w:bottom w:val="single" w:sz="6" w:space="0" w:color="000000"/>
            </w:tcBorders>
            <w:shd w:fill="CCCCCC" w:val="clear"/>
          </w:tcPr>
          <w:p>
            <w:pPr>
              <w:pStyle w:val="Normal"/>
              <w:jc w:val="both"/>
              <w:rPr/>
            </w:pPr>
            <w:r>
              <w:rPr/>
              <w:t>$   85.43</w:t>
            </w:r>
          </w:p>
        </w:tc>
        <w:tc>
          <w:tcPr>
            <w:tcW w:w="1080" w:type="dxa"/>
            <w:tcBorders>
              <w:top w:val="single" w:sz="6" w:space="0" w:color="000000"/>
              <w:bottom w:val="single" w:sz="6" w:space="0" w:color="000000"/>
            </w:tcBorders>
            <w:shd w:fill="CCCCCC" w:val="clear"/>
          </w:tcPr>
          <w:p>
            <w:pPr>
              <w:pStyle w:val="Normal"/>
              <w:jc w:val="both"/>
              <w:rPr/>
            </w:pPr>
            <w:r>
              <w:rPr/>
              <w:t>$         86.79</w:t>
            </w:r>
          </w:p>
        </w:tc>
        <w:tc>
          <w:tcPr>
            <w:tcW w:w="1170" w:type="dxa"/>
            <w:tcBorders>
              <w:top w:val="single" w:sz="6" w:space="0" w:color="000000"/>
              <w:bottom w:val="single" w:sz="6" w:space="0" w:color="000000"/>
            </w:tcBorders>
            <w:shd w:fill="CCCCCC" w:val="clear"/>
          </w:tcPr>
          <w:p>
            <w:pPr>
              <w:pStyle w:val="Normal"/>
              <w:jc w:val="both"/>
              <w:rPr/>
            </w:pPr>
            <w:r>
              <w:rPr/>
              <w:t>$      87.24</w:t>
            </w:r>
          </w:p>
        </w:tc>
        <w:tc>
          <w:tcPr>
            <w:tcW w:w="1080" w:type="dxa"/>
            <w:tcBorders>
              <w:top w:val="single" w:sz="6" w:space="0" w:color="000000"/>
              <w:bottom w:val="single" w:sz="6" w:space="0" w:color="000000"/>
            </w:tcBorders>
            <w:shd w:fill="CCCCCC" w:val="clear"/>
          </w:tcPr>
          <w:p>
            <w:pPr>
              <w:pStyle w:val="Normal"/>
              <w:jc w:val="both"/>
              <w:rPr/>
            </w:pPr>
            <w:r>
              <w:rPr/>
              <w:t>$       89.51</w:t>
            </w:r>
          </w:p>
        </w:tc>
        <w:tc>
          <w:tcPr>
            <w:tcW w:w="927" w:type="dxa"/>
            <w:tcBorders>
              <w:top w:val="single" w:sz="6" w:space="0" w:color="000000"/>
              <w:bottom w:val="single" w:sz="6" w:space="0" w:color="000000"/>
            </w:tcBorders>
            <w:shd w:fill="CCCCCC" w:val="clear"/>
          </w:tcPr>
          <w:p>
            <w:pPr>
              <w:pStyle w:val="Normal"/>
              <w:jc w:val="both"/>
              <w:rPr/>
            </w:pPr>
            <w:r>
              <w:rPr/>
              <w:t>$  19.50</w:t>
            </w:r>
          </w:p>
        </w:tc>
        <w:tc>
          <w:tcPr>
            <w:tcW w:w="1080" w:type="dxa"/>
            <w:tcBorders>
              <w:top w:val="single" w:sz="6" w:space="0" w:color="000000"/>
              <w:bottom w:val="single" w:sz="6" w:space="0" w:color="000000"/>
            </w:tcBorders>
            <w:shd w:fill="CCCCCC" w:val="clear"/>
          </w:tcPr>
          <w:p>
            <w:pPr>
              <w:pStyle w:val="Normal"/>
              <w:jc w:val="both"/>
              <w:rPr/>
            </w:pPr>
            <w:r>
              <w:rPr/>
              <w:t>$    50.00</w:t>
            </w:r>
          </w:p>
        </w:tc>
        <w:tc>
          <w:tcPr>
            <w:tcW w:w="1320" w:type="dxa"/>
            <w:tcBorders>
              <w:top w:val="single" w:sz="6" w:space="0" w:color="000000"/>
              <w:bottom w:val="single" w:sz="6" w:space="0" w:color="000000"/>
              <w:end w:val="single" w:sz="6" w:space="0" w:color="008000"/>
            </w:tcBorders>
            <w:shd w:fill="CCCCCC"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6" w:space="0" w:color="000000"/>
            </w:tcBorders>
            <w:shd w:fill="FFFFBF" w:val="clear"/>
          </w:tcPr>
          <w:p>
            <w:pPr>
              <w:pStyle w:val="Normal"/>
              <w:jc w:val="both"/>
              <w:rPr>
                <w:b/>
              </w:rPr>
            </w:pPr>
            <w:r>
              <w:rPr>
                <w:b/>
              </w:rPr>
              <w:t>Model Price</w:t>
            </w:r>
          </w:p>
        </w:tc>
        <w:tc>
          <w:tcPr>
            <w:tcW w:w="900" w:type="dxa"/>
            <w:tcBorders>
              <w:top w:val="single" w:sz="6" w:space="0" w:color="000000"/>
              <w:bottom w:val="single" w:sz="6" w:space="0" w:color="000000"/>
            </w:tcBorders>
            <w:shd w:fill="FFFFBF" w:val="clear"/>
          </w:tcPr>
          <w:p>
            <w:pPr>
              <w:pStyle w:val="Normal"/>
              <w:jc w:val="both"/>
              <w:rPr/>
            </w:pPr>
            <w:r>
              <w:rPr/>
              <w:t>$   77.55</w:t>
            </w:r>
          </w:p>
        </w:tc>
        <w:tc>
          <w:tcPr>
            <w:tcW w:w="1080" w:type="dxa"/>
            <w:tcBorders>
              <w:top w:val="single" w:sz="6" w:space="0" w:color="000000"/>
              <w:bottom w:val="single" w:sz="6" w:space="0" w:color="000000"/>
            </w:tcBorders>
            <w:shd w:fill="FFFFBF" w:val="clear"/>
          </w:tcPr>
          <w:p>
            <w:pPr>
              <w:pStyle w:val="Normal"/>
              <w:jc w:val="both"/>
              <w:rPr/>
            </w:pPr>
            <w:r>
              <w:rPr/>
              <w:t>$         80.46</w:t>
            </w:r>
          </w:p>
        </w:tc>
        <w:tc>
          <w:tcPr>
            <w:tcW w:w="1170" w:type="dxa"/>
            <w:tcBorders>
              <w:top w:val="single" w:sz="6" w:space="0" w:color="000000"/>
              <w:bottom w:val="single" w:sz="6" w:space="0" w:color="000000"/>
            </w:tcBorders>
            <w:shd w:fill="FFFFBF" w:val="clear"/>
          </w:tcPr>
          <w:p>
            <w:pPr>
              <w:pStyle w:val="Normal"/>
              <w:jc w:val="both"/>
              <w:rPr/>
            </w:pPr>
            <w:r>
              <w:rPr/>
              <w:t>$      81.43</w:t>
            </w:r>
          </w:p>
        </w:tc>
        <w:tc>
          <w:tcPr>
            <w:tcW w:w="1080" w:type="dxa"/>
            <w:tcBorders>
              <w:top w:val="single" w:sz="6" w:space="0" w:color="000000"/>
              <w:bottom w:val="single" w:sz="6" w:space="0" w:color="000000"/>
            </w:tcBorders>
            <w:shd w:fill="FFFFBF" w:val="clear"/>
          </w:tcPr>
          <w:p>
            <w:pPr>
              <w:pStyle w:val="Normal"/>
              <w:jc w:val="both"/>
              <w:rPr/>
            </w:pPr>
            <w:r>
              <w:rPr/>
              <w:t>$       86.27</w:t>
            </w:r>
          </w:p>
        </w:tc>
        <w:tc>
          <w:tcPr>
            <w:tcW w:w="927" w:type="dxa"/>
            <w:tcBorders>
              <w:top w:val="single" w:sz="6" w:space="0" w:color="000000"/>
              <w:bottom w:val="single" w:sz="6" w:space="0" w:color="000000"/>
            </w:tcBorders>
            <w:shd w:fill="FFFFBF" w:val="clear"/>
          </w:tcPr>
          <w:p>
            <w:pPr>
              <w:pStyle w:val="Normal"/>
              <w:jc w:val="both"/>
              <w:rPr/>
            </w:pPr>
            <w:r>
              <w:rPr/>
              <w:t>$  16.77</w:t>
            </w:r>
          </w:p>
        </w:tc>
        <w:tc>
          <w:tcPr>
            <w:tcW w:w="1080" w:type="dxa"/>
            <w:tcBorders>
              <w:top w:val="single" w:sz="6" w:space="0" w:color="000000"/>
              <w:bottom w:val="single" w:sz="6" w:space="0" w:color="000000"/>
            </w:tcBorders>
            <w:shd w:fill="FFFFBF" w:val="clear"/>
          </w:tcPr>
          <w:p>
            <w:pPr>
              <w:pStyle w:val="Normal"/>
              <w:jc w:val="both"/>
              <w:rPr/>
            </w:pPr>
            <w:r>
              <w:rPr/>
              <w:t>$  100.00</w:t>
            </w:r>
          </w:p>
        </w:tc>
        <w:tc>
          <w:tcPr>
            <w:tcW w:w="1320" w:type="dxa"/>
            <w:tcBorders>
              <w:top w:val="single" w:sz="6" w:space="0" w:color="000000"/>
              <w:bottom w:val="single" w:sz="6" w:space="0" w:color="000000"/>
              <w:end w:val="single" w:sz="6" w:space="0" w:color="008000"/>
            </w:tcBorders>
            <w:shd w:fill="FFFFBF" w:val="clear"/>
          </w:tcPr>
          <w:p>
            <w:pPr>
              <w:pStyle w:val="Normal"/>
              <w:snapToGrid w:val="false"/>
              <w:jc w:val="both"/>
              <w:rPr/>
            </w:pPr>
            <w:r>
              <w:rPr/>
            </w:r>
          </w:p>
        </w:tc>
      </w:tr>
      <w:tr>
        <w:trPr>
          <w:trHeight w:val="218" w:hRule="atLeast"/>
        </w:trPr>
        <w:tc>
          <w:tcPr>
            <w:tcW w:w="1204" w:type="dxa"/>
            <w:tcBorders>
              <w:top w:val="single" w:sz="6" w:space="0" w:color="000000"/>
              <w:start w:val="single" w:sz="6" w:space="0" w:color="008000"/>
              <w:bottom w:val="single" w:sz="12" w:space="0" w:color="008000"/>
            </w:tcBorders>
            <w:shd w:fill="CCCCCC" w:val="clear"/>
          </w:tcPr>
          <w:p>
            <w:pPr>
              <w:pStyle w:val="Normal"/>
              <w:jc w:val="both"/>
              <w:rPr>
                <w:b/>
              </w:rPr>
            </w:pPr>
            <w:r>
              <w:rPr>
                <w:b/>
              </w:rPr>
              <w:t>Model Price</w:t>
            </w:r>
          </w:p>
        </w:tc>
        <w:tc>
          <w:tcPr>
            <w:tcW w:w="900" w:type="dxa"/>
            <w:tcBorders>
              <w:top w:val="single" w:sz="6" w:space="0" w:color="000000"/>
              <w:bottom w:val="single" w:sz="12" w:space="0" w:color="008000"/>
            </w:tcBorders>
            <w:shd w:fill="CCCCCC" w:val="clear"/>
          </w:tcPr>
          <w:p>
            <w:pPr>
              <w:pStyle w:val="Normal"/>
              <w:jc w:val="both"/>
              <w:rPr/>
            </w:pPr>
            <w:r>
              <w:rPr/>
              <w:t>$   64.01</w:t>
            </w:r>
          </w:p>
        </w:tc>
        <w:tc>
          <w:tcPr>
            <w:tcW w:w="1080" w:type="dxa"/>
            <w:tcBorders>
              <w:top w:val="single" w:sz="6" w:space="0" w:color="000000"/>
              <w:bottom w:val="single" w:sz="12" w:space="0" w:color="008000"/>
            </w:tcBorders>
            <w:shd w:fill="CCCCCC" w:val="clear"/>
          </w:tcPr>
          <w:p>
            <w:pPr>
              <w:pStyle w:val="Normal"/>
              <w:jc w:val="both"/>
              <w:rPr/>
            </w:pPr>
            <w:r>
              <w:rPr/>
              <w:t>$         70.10</w:t>
            </w:r>
          </w:p>
        </w:tc>
        <w:tc>
          <w:tcPr>
            <w:tcW w:w="1170" w:type="dxa"/>
            <w:tcBorders>
              <w:top w:val="single" w:sz="6" w:space="0" w:color="000000"/>
              <w:bottom w:val="single" w:sz="12" w:space="0" w:color="008000"/>
            </w:tcBorders>
            <w:shd w:fill="CCCCCC" w:val="clear"/>
          </w:tcPr>
          <w:p>
            <w:pPr>
              <w:pStyle w:val="Normal"/>
              <w:jc w:val="both"/>
              <w:rPr/>
            </w:pPr>
            <w:r>
              <w:rPr/>
              <w:t>$      72.13</w:t>
            </w:r>
          </w:p>
        </w:tc>
        <w:tc>
          <w:tcPr>
            <w:tcW w:w="1080" w:type="dxa"/>
            <w:tcBorders>
              <w:top w:val="single" w:sz="6" w:space="0" w:color="000000"/>
              <w:bottom w:val="single" w:sz="12" w:space="0" w:color="008000"/>
            </w:tcBorders>
            <w:shd w:fill="CCCCCC" w:val="clear"/>
          </w:tcPr>
          <w:p>
            <w:pPr>
              <w:pStyle w:val="Normal"/>
              <w:jc w:val="both"/>
              <w:rPr/>
            </w:pPr>
            <w:r>
              <w:rPr/>
              <w:t>$       82.27</w:t>
            </w:r>
          </w:p>
        </w:tc>
        <w:tc>
          <w:tcPr>
            <w:tcW w:w="927" w:type="dxa"/>
            <w:tcBorders>
              <w:top w:val="single" w:sz="6" w:space="0" w:color="000000"/>
              <w:bottom w:val="single" w:sz="12" w:space="0" w:color="008000"/>
            </w:tcBorders>
            <w:shd w:fill="CCCCCC" w:val="clear"/>
          </w:tcPr>
          <w:p>
            <w:pPr>
              <w:pStyle w:val="Normal"/>
              <w:jc w:val="both"/>
              <w:rPr/>
            </w:pPr>
            <w:r>
              <w:rPr/>
              <w:t>$  13.83</w:t>
            </w:r>
          </w:p>
        </w:tc>
        <w:tc>
          <w:tcPr>
            <w:tcW w:w="1080" w:type="dxa"/>
            <w:tcBorders>
              <w:top w:val="single" w:sz="6" w:space="0" w:color="000000"/>
              <w:bottom w:val="single" w:sz="12" w:space="0" w:color="008000"/>
            </w:tcBorders>
            <w:shd w:fill="CCCCCC" w:val="clear"/>
          </w:tcPr>
          <w:p>
            <w:pPr>
              <w:pStyle w:val="Normal"/>
              <w:jc w:val="both"/>
              <w:rPr/>
            </w:pPr>
            <w:r>
              <w:rPr/>
              <w:t>$  200.00</w:t>
            </w:r>
          </w:p>
        </w:tc>
        <w:tc>
          <w:tcPr>
            <w:tcW w:w="1320" w:type="dxa"/>
            <w:tcBorders>
              <w:top w:val="single" w:sz="6" w:space="0" w:color="000000"/>
              <w:bottom w:val="single" w:sz="12" w:space="0" w:color="008000"/>
              <w:end w:val="single" w:sz="6" w:space="0" w:color="008000"/>
            </w:tcBorders>
            <w:shd w:fill="CCCCCC" w:val="clear"/>
          </w:tcPr>
          <w:p>
            <w:pPr>
              <w:pStyle w:val="Normal"/>
              <w:snapToGrid w:val="false"/>
              <w:jc w:val="both"/>
              <w:rPr/>
            </w:pPr>
            <w:r>
              <w:rPr/>
            </w:r>
          </w:p>
        </w:tc>
      </w:tr>
    </w:tbl>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sz w:val="22"/>
        </w:rPr>
      </w:pPr>
      <w:r>
        <w:rPr>
          <w:color w:val="000000"/>
          <w:sz w:val="22"/>
        </w:rPr>
        <w:t>I believe the problem lies within Equation (3).  Equation (4) essential</w:t>
      </w:r>
      <w:r>
        <w:rPr>
          <w:color w:val="FF00FF"/>
          <w:sz w:val="22"/>
        </w:rPr>
        <w:t>ly</w:t>
      </w:r>
      <w:r>
        <w:rPr>
          <w:color w:val="000000"/>
          <w:sz w:val="22"/>
        </w:rPr>
        <w:t xml:space="preserve"> says that the commodity price </w:t>
      </w:r>
      <w:r>
        <w:rPr>
          <w:sz w:val="22"/>
        </w:rPr>
      </w:r>
      <m:oMath xmlns:m="http://schemas.openxmlformats.org/officeDocument/2006/math">
        <m:r>
          <m:t xml:space="preserve">F</m:t>
        </m:r>
      </m:oMath>
      <w:r>
        <w:rPr>
          <w:sz w:val="22"/>
        </w:rPr>
        <w:t xml:space="preserve"> </w:t>
      </w:r>
      <w:r>
        <w:rPr>
          <w:color w:val="000000"/>
          <w:sz w:val="22"/>
        </w:rPr>
        <w:t xml:space="preserve">includes information about historical average of the forward prices in terms of </w:t>
      </w:r>
      <w:r>
        <w:rPr>
          <w:color w:val="000000"/>
          <w:sz w:val="22"/>
        </w:rPr>
      </w:r>
      <m:oMath xmlns:m="http://schemas.openxmlformats.org/officeDocument/2006/math">
        <m:sSub>
          <m:e>
            <m:r>
              <m:t xml:space="preserve">F</m:t>
            </m:r>
          </m:e>
          <m:sub>
            <m:r>
              <m:t xml:space="preserve">N</m:t>
            </m:r>
          </m:sub>
        </m:sSub>
      </m:oMath>
      <w:r>
        <w:rPr>
          <w:color w:val="000000"/>
          <w:sz w:val="22"/>
        </w:rPr>
        <w:t xml:space="preserve">and the potential spike prices in terms of </w:t>
      </w:r>
      <w:r>
        <w:rPr>
          <w:color w:val="000000"/>
          <w:sz w:val="22"/>
        </w:rPr>
      </w:r>
      <m:oMath xmlns:m="http://schemas.openxmlformats.org/officeDocument/2006/math">
        <m:sSub>
          <m:e>
            <m:r>
              <m:t xml:space="preserve">F</m:t>
            </m:r>
          </m:e>
          <m:sub>
            <m:r>
              <m:t xml:space="preserve">S</m:t>
            </m:r>
          </m:sub>
        </m:sSub>
      </m:oMath>
      <w:r>
        <w:rPr>
          <w:color w:val="000000"/>
          <w:sz w:val="22"/>
        </w:rPr>
        <w:t>, and is the probability weighted average of the historical average and the spike forward prices.  This is reasonable.  On the other hand, according to Equation (1), one could hedge the call position by buying (1-</w:t>
      </w:r>
      <w:r>
        <w:rPr>
          <w:color w:val="000000"/>
          <w:sz w:val="22"/>
        </w:rPr>
      </w:r>
      <m:oMath xmlns:m="http://schemas.openxmlformats.org/officeDocument/2006/math">
        <m:sSub>
          <m:e>
            <m:r>
              <m:t xml:space="preserve">p</m:t>
            </m:r>
          </m:e>
          <m:sub>
            <m:r>
              <m:t xml:space="preserve">S</m:t>
            </m:r>
          </m:sub>
        </m:sSub>
      </m:oMath>
      <w:r>
        <w:rPr>
          <w:color w:val="000000"/>
          <w:sz w:val="22"/>
        </w:rPr>
        <w:t xml:space="preserve">) contracts of a European call on the historical forward price with the same strike, and entering </w:t>
      </w:r>
      <w:r>
        <w:rPr>
          <w:color w:val="000000"/>
          <w:sz w:val="22"/>
        </w:rPr>
      </w:r>
      <m:oMath xmlns:m="http://schemas.openxmlformats.org/officeDocument/2006/math">
        <m:sSub>
          <m:e>
            <m:r>
              <m:t xml:space="preserve">p</m:t>
            </m:r>
          </m:e>
          <m:sub>
            <m:r>
              <m:t xml:space="preserve">S</m:t>
            </m:r>
          </m:sub>
        </m:sSub>
      </m:oMath>
      <w:r>
        <w:rPr>
          <w:color w:val="000000"/>
          <w:sz w:val="22"/>
        </w:rPr>
        <w:t xml:space="preserve"> swaps, each receiving the spike forward price</w:t>
      </w:r>
      <w:r>
        <w:rPr>
          <w:color w:val="000000"/>
          <w:sz w:val="22"/>
        </w:rPr>
      </w:r>
      <m:oMath xmlns:m="http://schemas.openxmlformats.org/officeDocument/2006/math">
        <m:sSub>
          <m:e>
            <m:r>
              <m:t xml:space="preserve">F</m:t>
            </m:r>
          </m:e>
          <m:sub>
            <m:r>
              <m:t xml:space="preserve">S</m:t>
            </m:r>
          </m:sub>
        </m:sSub>
      </m:oMath>
      <w:r>
        <w:rPr>
          <w:color w:val="000000"/>
          <w:sz w:val="22"/>
        </w:rPr>
        <w:t xml:space="preserve">and paying the strike </w:t>
      </w:r>
      <w:r>
        <w:rPr>
          <w:color w:val="000000"/>
          <w:sz w:val="22"/>
        </w:rPr>
      </w:r>
      <m:oMath xmlns:m="http://schemas.openxmlformats.org/officeDocument/2006/math">
        <m:r>
          <m:t xml:space="preserve">K</m:t>
        </m:r>
      </m:oMath>
      <w:r>
        <w:rPr>
          <w:color w:val="000000"/>
          <w:sz w:val="22"/>
        </w:rPr>
        <w:t xml:space="preserve">.  This is problematic.  In general, we can safely assume that the spike forward price </w:t>
      </w:r>
      <w:r>
        <w:rPr>
          <w:color w:val="000000"/>
          <w:sz w:val="22"/>
        </w:rPr>
      </w:r>
      <m:oMath xmlns:m="http://schemas.openxmlformats.org/officeDocument/2006/math">
        <m:sSub>
          <m:e>
            <m:r>
              <m:t xml:space="preserve">F</m:t>
            </m:r>
          </m:e>
          <m:sub>
            <m:r>
              <m:t xml:space="preserve">S</m:t>
            </m:r>
          </m:sub>
        </m:sSub>
      </m:oMath>
      <w:r>
        <w:rPr>
          <w:color w:val="000000"/>
          <w:sz w:val="22"/>
        </w:rPr>
        <w:t xml:space="preserve"> is greater than the commodity price </w:t>
      </w:r>
      <w:r>
        <w:rPr>
          <w:sz w:val="22"/>
        </w:rPr>
      </w:r>
      <m:oMath xmlns:m="http://schemas.openxmlformats.org/officeDocument/2006/math">
        <m:r>
          <m:t xml:space="preserve">F</m:t>
        </m:r>
      </m:oMath>
      <w:r>
        <w:rPr>
          <w:sz w:val="22"/>
        </w:rPr>
        <w:t xml:space="preserve">.  Then we have </w:t>
      </w:r>
      <w:r>
        <w:rPr>
          <w:sz w:val="22"/>
        </w:rPr>
      </w:r>
      <m:oMath xmlns:m="http://schemas.openxmlformats.org/officeDocument/2006/math">
        <m:r>
          <m:t xml:space="preserve">F</m:t>
        </m:r>
        <m:r>
          <m:t xml:space="preserve">&gt;</m:t>
        </m:r>
        <m:sSub>
          <m:e>
            <m:r>
              <m:t xml:space="preserve">F</m:t>
            </m:r>
          </m:e>
          <m:sub>
            <m:r>
              <m:t xml:space="preserve">N</m:t>
            </m:r>
          </m:sub>
        </m:sSub>
      </m:oMath>
      <w:r>
        <w:rPr>
          <w:sz w:val="22"/>
        </w:rPr>
        <w:t xml:space="preserve">.  Consequently, </w:t>
      </w:r>
      <w:r>
        <w:rPr>
          <w:sz w:val="22"/>
        </w:rPr>
      </w:r>
      <m:oMath xmlns:m="http://schemas.openxmlformats.org/officeDocument/2006/math">
        <m:r>
          <m:t xml:space="preserve">C</m:t>
        </m:r>
        <m:r>
          <m:t xml:space="preserve">(</m:t>
        </m:r>
        <m:r>
          <m:t xml:space="preserve">K</m:t>
        </m:r>
        <m:r>
          <m:t xml:space="preserve">,</m:t>
        </m:r>
        <m:r>
          <m:t xml:space="preserve">F</m:t>
        </m:r>
        <m:r>
          <m:t xml:space="preserve">,</m:t>
        </m:r>
        <m:sSub>
          <m:e>
            <m:r>
              <m:t xml:space="preserve">σ</m:t>
            </m:r>
          </m:e>
          <m:sub>
            <m:r>
              <m:t xml:space="preserve">N</m:t>
            </m:r>
          </m:sub>
        </m:sSub>
        <m:r>
          <m:t xml:space="preserve">)</m:t>
        </m:r>
        <m:r>
          <m:t xml:space="preserve">&gt;</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&gt;</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oMath>
    </w:p>
    <w:p>
      <w:pPr>
        <w:pStyle w:val="Normal"/>
        <w:jc w:val="both"/>
        <w:rPr>
          <w:sz w:val="22"/>
        </w:rPr>
      </w:pPr>
      <w:r>
        <w:rPr>
          <w:sz w:val="22"/>
        </w:rPr>
        <w:t xml:space="preserve">Now, if the situation ever arises that the strike </w:t>
      </w:r>
      <w:r>
        <w:rPr>
          <w:color w:val="000000"/>
          <w:sz w:val="22"/>
        </w:rPr>
      </w:r>
      <m:oMath xmlns:m="http://schemas.openxmlformats.org/officeDocument/2006/math">
        <m:r>
          <m:t xml:space="preserve">K</m:t>
        </m:r>
      </m:oMath>
      <w:r>
        <w:rPr>
          <w:color w:val="000000"/>
          <w:sz w:val="22"/>
        </w:rPr>
        <w:t xml:space="preserve">is greater than </w:t>
      </w:r>
      <w:r>
        <w:rPr>
          <w:color w:val="000000"/>
          <w:sz w:val="22"/>
        </w:rPr>
      </w:r>
      <m:oMath xmlns:m="http://schemas.openxmlformats.org/officeDocument/2006/math">
        <m:sSub>
          <m:e>
            <m:r>
              <m:t xml:space="preserve">p</m:t>
            </m:r>
          </m:e>
          <m:sub>
            <m:r>
              <m:t xml:space="preserve">S</m:t>
            </m:r>
          </m:sub>
        </m:sSub>
      </m:oMath>
      <w:r>
        <w:rPr>
          <w:color w:val="000000"/>
          <w:sz w:val="22"/>
        </w:rPr>
        <w:t xml:space="preserve">, then it follows from Equation (1) that the proposed call option price will be lower than that priced via Black-Scholes formula.  This dilemma is not resolved even if we make the following modification: </w:t>
      </w:r>
    </w:p>
    <w:p>
      <w:pPr>
        <w:pStyle w:val="Normal"/>
        <w:jc w:val="both"/>
        <w:rPr>
          <w:color w:val="000000"/>
          <w:sz w:val="22"/>
        </w:rPr>
      </w:pPr>
      <w:r>
        <w:rPr>
          <w:color w:val="000000"/>
          <w:sz w:val="22"/>
        </w:rPr>
        <w:t xml:space="preserve"> </w:t>
      </w:r>
    </w:p>
    <w:p>
      <w:pPr>
        <w:pStyle w:val="Normal"/>
        <w:jc w:val="both"/>
        <w:rPr/>
      </w:pPr>
      <w:r>
        <w:rPr>
          <w:sz w:val="22"/>
        </w:rPr>
      </w:r>
      <m:oMath xmlns:m="http://schemas.openxmlformats.org/officeDocument/2006/math">
        <m:m>
          <m:mr>
            <m:e>
              <m:m>
                <m:mr>
                  <m:e/>
                  <m:e/>
                  <m:e/>
                  <m:e/>
                </m:mr>
              </m:m>
            </m:e>
            <m:e/>
            <m:e/>
            <m:e/>
          </m:mr>
        </m:m>
        <m:sSub>
          <m:e>
            <m:r>
              <m:t xml:space="preserve">C</m:t>
            </m:r>
          </m:e>
          <m:sub>
            <m:r>
              <m:t xml:space="preserve">S</m:t>
            </m:r>
          </m:sub>
        </m:sSub>
        <m:r>
          <m:t xml:space="preserve">(</m:t>
        </m:r>
        <m:r>
          <m:t xml:space="preserve">K</m:t>
        </m:r>
        <m:r>
          <m:t xml:space="preserve">)</m:t>
        </m:r>
        <m:r>
          <m:t xml:space="preserve">=</m:t>
        </m:r>
        <m:r>
          <m:t xml:space="preserve">(</m:t>
        </m:r>
        <m:r>
          <m:t xml:space="preserve">1</m:t>
        </m:r>
        <m:r>
          <m:t xml:space="preserve">−</m:t>
        </m:r>
        <m:sSub>
          <m:e>
            <m:r>
              <m:t xml:space="preserve">p</m:t>
            </m:r>
          </m:e>
          <m:sub>
            <m:r>
              <m:t xml:space="preserve">S</m:t>
            </m:r>
          </m:sub>
        </m:sSub>
        <m:r>
          <m:t xml:space="preserve">)</m:t>
        </m:r>
        <m:r>
          <m:t xml:space="preserve">⋅</m:t>
        </m:r>
        <m:r>
          <m:t xml:space="preserve">C</m:t>
        </m:r>
        <m:r>
          <m:t xml:space="preserve">(</m:t>
        </m:r>
        <m:r>
          <m:t xml:space="preserve">K</m:t>
        </m:r>
        <m:r>
          <m:t xml:space="preserve">,</m:t>
        </m:r>
        <m:sSub>
          <m:e>
            <m:r>
              <m:t xml:space="preserve">F</m:t>
            </m:r>
          </m:e>
          <m:sub>
            <m:r>
              <m:t xml:space="preserve">N</m:t>
            </m:r>
          </m:sub>
        </m:sSub>
        <m:r>
          <m:t xml:space="preserve">,</m:t>
        </m:r>
        <m:sSub>
          <m:e>
            <m:r>
              <m:t xml:space="preserve">σ</m:t>
            </m:r>
          </m:e>
          <m:sub>
            <m:r>
              <m:t xml:space="preserve">N</m:t>
            </m:r>
          </m:sub>
        </m:sSub>
        <m:r>
          <m:t xml:space="preserve">)</m:t>
        </m:r>
        <m:r>
          <m:t xml:space="preserve">+</m:t>
        </m:r>
        <m:sSub>
          <m:e>
            <m:r>
              <m:t xml:space="preserve">p</m:t>
            </m:r>
          </m:e>
          <m:sub>
            <m:r>
              <m:t xml:space="preserve">S</m:t>
            </m:r>
          </m:sub>
        </m:sSub>
        <m:r>
          <m:t xml:space="preserve">⋅</m:t>
        </m:r>
        <m:r>
          <m:t xml:space="preserve">(</m:t>
        </m:r>
        <m:sSub>
          <m:e>
            <m:r>
              <m:t xml:space="preserve">F</m:t>
            </m:r>
          </m:e>
          <m:sub>
            <m:r>
              <m:t xml:space="preserve">S</m:t>
            </m:r>
          </m:sub>
        </m:sSub>
        <m:r>
          <m:t xml:space="preserve">−</m:t>
        </m:r>
        <m:r>
          <m:t xml:space="preserve">K</m:t>
        </m:r>
        <m:sSup>
          <m:e>
            <m:r>
              <m:t xml:space="preserve">)</m:t>
            </m:r>
          </m:e>
          <m:sup>
            <m:r>
              <m:t xml:space="preserve">+</m:t>
            </m:r>
          </m:sup>
        </m:sSup>
        <m:r>
          <m:t xml:space="preserve">⋅</m:t>
        </m:r>
        <m:sSup>
          <m:e>
            <m:r>
              <m:t xml:space="preserve">e</m:t>
            </m:r>
          </m:e>
          <m:sup>
            <m:r>
              <m:t xml:space="preserve">−</m:t>
            </m:r>
            <m:r>
              <m:rPr>
                <m:lit/>
                <m:nor/>
              </m:rPr>
              <m:t xml:space="preserve">rt</m:t>
            </m:r>
          </m:sup>
        </m:sSup>
        <m:r>
          <m:rPr>
            <m:lit/>
            <m:nor/>
          </m:rPr>
          <m:t xml:space="preserve">.</m:t>
        </m:r>
      </m:oMath>
      <w:r>
        <w:rPr>
          <w:sz w:val="22"/>
        </w:rPr>
        <w:tab/>
        <w:t>(5)</w:t>
      </w:r>
    </w:p>
    <w:p>
      <w:pPr>
        <w:pStyle w:val="Normal"/>
        <w:jc w:val="both"/>
        <w:rPr>
          <w:color w:val="000000"/>
          <w:sz w:val="22"/>
        </w:rPr>
      </w:pPr>
      <w:r>
        <w:rPr>
          <w:color w:val="000000"/>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2000-08-06T19:05:00Z</dcterms:created>
  <dc:creator>ahuang2</dc:creator>
  <dc:description/>
  <dc:language>en-CA</dc:language>
  <cp:lastModifiedBy>Vince Kaminski</cp:lastModifiedBy>
  <cp:lastPrinted>2000-06-27T14:33:00Z</cp:lastPrinted>
  <dcterms:modified xsi:type="dcterms:W3CDTF">2000-08-06T19:17:00Z</dcterms:modified>
  <cp:revision>4</cp:revision>
  <dc:subject/>
  <dc:title>A Simple Option Pricing Formula for Spiky Prices</dc:title>
</cp:coreProperties>
</file>