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w:t>
      </w:r>
      <w:r>
        <w:rPr>
          <w:u w:val="none"/>
        </w:rPr>
        <w:t>Moving Forward with Electricity Deregulation”</w:t>
      </w:r>
    </w:p>
    <w:p>
      <w:pPr>
        <w:pStyle w:val="Heading"/>
        <w:rPr>
          <w:u w:val="none"/>
        </w:rPr>
      </w:pPr>
      <w:r>
        <w:rPr>
          <w:u w:val="none"/>
        </w:rPr>
      </w:r>
    </w:p>
    <w:p>
      <w:pPr>
        <w:pStyle w:val="Heading"/>
        <w:rPr>
          <w:u w:val="none"/>
        </w:rPr>
      </w:pPr>
      <w:r>
        <w:rPr>
          <w:u w:val="none"/>
        </w:rPr>
        <w:t>Comments of Kenneth L. Lay,</w:t>
      </w:r>
    </w:p>
    <w:p>
      <w:pPr>
        <w:pStyle w:val="Heading"/>
        <w:rPr>
          <w:u w:val="none"/>
        </w:rPr>
      </w:pPr>
      <w:r>
        <w:rPr>
          <w:u w:val="none"/>
        </w:rPr>
        <w:t>Chairman, Enron Corp.</w:t>
      </w:r>
    </w:p>
    <w:p>
      <w:pPr>
        <w:pStyle w:val="Heading"/>
        <w:rPr>
          <w:u w:val="none"/>
        </w:rPr>
      </w:pPr>
      <w:r>
        <w:rPr>
          <w:u w:val="none"/>
        </w:rPr>
      </w:r>
    </w:p>
    <w:p>
      <w:pPr>
        <w:pStyle w:val="Heading"/>
        <w:rPr>
          <w:u w:val="none"/>
        </w:rPr>
      </w:pPr>
      <w:r>
        <w:rPr>
          <w:u w:val="none"/>
        </w:rPr>
        <w:t>Toronto Board of Trade</w:t>
      </w:r>
    </w:p>
    <w:p>
      <w:pPr>
        <w:pStyle w:val="Heading"/>
        <w:rPr>
          <w:u w:val="none"/>
        </w:rPr>
      </w:pPr>
      <w:r>
        <w:rPr>
          <w:rFonts w:eastAsia="Arial"/>
          <w:u w:val="none"/>
        </w:rPr>
        <w:t xml:space="preserve"> </w:t>
      </w:r>
      <w:r>
        <w:rPr>
          <w:u w:val="none"/>
        </w:rPr>
        <w:t>Power Breakfast Series</w:t>
      </w:r>
    </w:p>
    <w:p>
      <w:pPr>
        <w:pStyle w:val="Heading"/>
        <w:rPr>
          <w:u w:val="none"/>
        </w:rPr>
      </w:pPr>
      <w:r>
        <w:rPr>
          <w:u w:val="none"/>
        </w:rPr>
        <w:t>April 4, 2001</w:t>
      </w:r>
    </w:p>
    <w:p>
      <w:pPr>
        <w:pStyle w:val="Heading"/>
        <w:spacing w:lineRule="auto" w:line="480"/>
        <w:jc w:val="start"/>
        <w:rPr>
          <w:b w:val="false"/>
          <w:bCs w:val="false"/>
          <w:u w:val="none"/>
        </w:rPr>
      </w:pPr>
      <w:r>
        <w:rPr>
          <w:b w:val="false"/>
          <w:bCs w:val="false"/>
          <w:u w:val="none"/>
        </w:rPr>
      </w:r>
    </w:p>
    <w:p>
      <w:pPr>
        <w:pStyle w:val="Heading"/>
        <w:spacing w:lineRule="auto" w:line="480"/>
        <w:jc w:val="start"/>
        <w:rPr>
          <w:b w:val="false"/>
          <w:bCs w:val="false"/>
          <w:u w:val="none"/>
        </w:rPr>
      </w:pPr>
      <w:r>
        <w:rPr>
          <w:u w:val="none"/>
        </w:rPr>
        <w:t>Introduction</w:t>
      </w:r>
    </w:p>
    <w:p>
      <w:pPr>
        <w:pStyle w:val="Heading"/>
        <w:spacing w:lineRule="auto" w:line="480"/>
        <w:jc w:val="start"/>
        <w:rPr>
          <w:b w:val="false"/>
          <w:bCs w:val="false"/>
          <w:u w:val="none"/>
        </w:rPr>
      </w:pPr>
      <w:r>
        <w:rPr>
          <w:b w:val="false"/>
          <w:bCs w:val="false"/>
          <w:u w:val="none"/>
        </w:rPr>
      </w:r>
    </w:p>
    <w:p>
      <w:pPr>
        <w:pStyle w:val="Heading"/>
        <w:numPr>
          <w:ilvl w:val="0"/>
          <w:numId w:val="6"/>
        </w:numPr>
        <w:spacing w:lineRule="auto" w:line="480"/>
        <w:jc w:val="both"/>
        <w:rPr>
          <w:b w:val="false"/>
          <w:bCs w:val="false"/>
          <w:u w:val="none"/>
        </w:rPr>
      </w:pPr>
      <w:r>
        <w:rPr>
          <w:b w:val="false"/>
          <w:bCs w:val="false"/>
          <w:u w:val="none"/>
        </w:rPr>
        <w:t>Enron has been at the forefront of opening natural gas and electricity markets in North America and Europe for the last 15 years</w:t>
      </w:r>
    </w:p>
    <w:p>
      <w:pPr>
        <w:pStyle w:val="Heading"/>
        <w:spacing w:lineRule="auto" w:line="480"/>
        <w:jc w:val="both"/>
        <w:rPr>
          <w:b w:val="false"/>
          <w:bCs w:val="false"/>
          <w:u w:val="none"/>
        </w:rPr>
      </w:pPr>
      <w:r>
        <w:rPr>
          <w:b w:val="false"/>
          <w:bCs w:val="false"/>
          <w:u w:val="none"/>
        </w:rPr>
      </w:r>
    </w:p>
    <w:p>
      <w:pPr>
        <w:pStyle w:val="Heading"/>
        <w:numPr>
          <w:ilvl w:val="0"/>
          <w:numId w:val="6"/>
        </w:numPr>
        <w:spacing w:lineRule="auto" w:line="480"/>
        <w:jc w:val="both"/>
        <w:rPr>
          <w:b w:val="false"/>
          <w:bCs w:val="false"/>
          <w:u w:val="none"/>
        </w:rPr>
      </w:pPr>
      <w:r>
        <w:rPr>
          <w:b w:val="false"/>
          <w:bCs w:val="false"/>
          <w:u w:val="none"/>
        </w:rPr>
        <w:t>Currently, we are the largest buyer and seller of these commodities in North America and Europe</w:t>
      </w:r>
    </w:p>
    <w:p>
      <w:pPr>
        <w:pStyle w:val="Heading"/>
        <w:spacing w:lineRule="auto" w:line="480"/>
        <w:jc w:val="both"/>
        <w:rPr>
          <w:b w:val="false"/>
          <w:bCs w:val="false"/>
          <w:u w:val="none"/>
        </w:rPr>
      </w:pPr>
      <w:r>
        <w:rPr>
          <w:b w:val="false"/>
          <w:bCs w:val="false"/>
          <w:u w:val="none"/>
        </w:rPr>
      </w:r>
    </w:p>
    <w:p>
      <w:pPr>
        <w:pStyle w:val="Heading"/>
        <w:numPr>
          <w:ilvl w:val="0"/>
          <w:numId w:val="6"/>
        </w:numPr>
        <w:spacing w:lineRule="auto" w:line="480"/>
        <w:jc w:val="both"/>
        <w:rPr>
          <w:b w:val="false"/>
          <w:bCs w:val="false"/>
          <w:u w:val="none"/>
        </w:rPr>
      </w:pPr>
      <w:r>
        <w:rPr>
          <w:b w:val="false"/>
          <w:bCs w:val="false"/>
          <w:u w:val="none"/>
        </w:rPr>
        <w:t>About 60% of our merchant business now takes place on line via the Internet.  Our electronic trading platform, Enron Online, is now the world’s largest e-commerce site.  It has traded approximately $500 billion (U.S.) in its first 17 months of operations.</w:t>
      </w:r>
    </w:p>
    <w:p>
      <w:pPr>
        <w:pStyle w:val="Heading"/>
        <w:spacing w:lineRule="auto" w:line="480"/>
        <w:ind w:start="360" w:end="0"/>
        <w:jc w:val="both"/>
        <w:rPr>
          <w:b w:val="false"/>
          <w:bCs w:val="false"/>
          <w:u w:val="none"/>
        </w:rPr>
      </w:pPr>
      <w:r>
        <w:rPr>
          <w:b w:val="false"/>
          <w:bCs w:val="false"/>
          <w:u w:val="none"/>
        </w:rPr>
      </w:r>
    </w:p>
    <w:p>
      <w:pPr>
        <w:pStyle w:val="Heading"/>
        <w:numPr>
          <w:ilvl w:val="0"/>
          <w:numId w:val="6"/>
        </w:numPr>
        <w:tabs>
          <w:tab w:val="clear" w:pos="720"/>
        </w:tabs>
        <w:spacing w:lineRule="auto" w:line="480"/>
        <w:ind w:hanging="720" w:start="2160" w:end="0"/>
        <w:jc w:val="both"/>
        <w:rPr>
          <w:b w:val="false"/>
          <w:bCs w:val="false"/>
          <w:u w:val="none"/>
        </w:rPr>
      </w:pPr>
      <w:r>
        <w:rPr>
          <w:b w:val="false"/>
          <w:bCs w:val="false"/>
          <w:u w:val="none"/>
        </w:rPr>
        <w:t>You can buy and sell gas at Canadian delivery points at Enron OnLine</w:t>
      </w:r>
    </w:p>
    <w:p>
      <w:pPr>
        <w:pStyle w:val="Heading"/>
        <w:spacing w:lineRule="auto" w:line="480"/>
        <w:jc w:val="both"/>
        <w:rPr>
          <w:b w:val="false"/>
          <w:bCs w:val="false"/>
          <w:u w:val="none"/>
        </w:rPr>
      </w:pPr>
      <w:r>
        <w:rPr>
          <w:b w:val="false"/>
          <w:bCs w:val="false"/>
          <w:u w:val="none"/>
        </w:rPr>
      </w:r>
    </w:p>
    <w:p>
      <w:pPr>
        <w:pStyle w:val="Heading"/>
        <w:numPr>
          <w:ilvl w:val="0"/>
          <w:numId w:val="6"/>
        </w:numPr>
        <w:spacing w:lineRule="auto" w:line="480"/>
        <w:ind w:firstLine="720" w:start="720" w:end="0"/>
        <w:jc w:val="both"/>
        <w:rPr>
          <w:b w:val="false"/>
          <w:bCs w:val="false"/>
          <w:u w:val="none"/>
        </w:rPr>
      </w:pPr>
      <w:r>
        <w:rPr>
          <w:b w:val="false"/>
          <w:bCs w:val="false"/>
          <w:u w:val="none"/>
        </w:rPr>
        <w:t>You can buy and sell Alberta power on Enron OnLine</w:t>
      </w:r>
    </w:p>
    <w:p>
      <w:pPr>
        <w:pStyle w:val="Heading"/>
        <w:spacing w:lineRule="auto" w:line="480"/>
        <w:jc w:val="both"/>
        <w:rPr>
          <w:b w:val="false"/>
          <w:bCs w:val="false"/>
          <w:u w:val="none"/>
        </w:rPr>
      </w:pPr>
      <w:r>
        <w:rPr>
          <w:b w:val="false"/>
          <w:bCs w:val="false"/>
          <w:u w:val="none"/>
        </w:rPr>
      </w:r>
    </w:p>
    <w:p>
      <w:pPr>
        <w:pStyle w:val="Heading"/>
        <w:numPr>
          <w:ilvl w:val="0"/>
          <w:numId w:val="6"/>
        </w:numPr>
        <w:tabs>
          <w:tab w:val="clear" w:pos="720"/>
        </w:tabs>
        <w:spacing w:lineRule="auto" w:line="480"/>
        <w:ind w:hanging="720" w:start="2160" w:end="0"/>
        <w:jc w:val="both"/>
        <w:rPr>
          <w:b w:val="false"/>
          <w:bCs w:val="false"/>
          <w:u w:val="none"/>
        </w:rPr>
      </w:pPr>
      <w:r>
        <w:rPr>
          <w:b w:val="false"/>
          <w:bCs w:val="false"/>
          <w:u w:val="none"/>
        </w:rPr>
        <w:t>Once we get the Ontario market open, you will be able to buy and sell Ontario power on Enron OnLine</w:t>
      </w:r>
    </w:p>
    <w:p>
      <w:pPr>
        <w:pStyle w:val="Heading"/>
        <w:spacing w:lineRule="auto" w:line="480"/>
        <w:jc w:val="both"/>
        <w:rPr>
          <w:b w:val="false"/>
          <w:bCs w:val="false"/>
          <w:u w:val="none"/>
        </w:rPr>
      </w:pPr>
      <w:r>
        <w:rPr>
          <w:b w:val="false"/>
          <w:bCs w:val="false"/>
          <w:u w:val="none"/>
        </w:rPr>
      </w:r>
    </w:p>
    <w:p>
      <w:pPr>
        <w:pStyle w:val="Heading"/>
        <w:numPr>
          <w:ilvl w:val="0"/>
          <w:numId w:val="6"/>
        </w:numPr>
        <w:spacing w:lineRule="auto" w:line="480"/>
        <w:jc w:val="both"/>
        <w:rPr>
          <w:b w:val="false"/>
          <w:bCs w:val="false"/>
          <w:u w:val="none"/>
        </w:rPr>
      </w:pPr>
      <w:r>
        <w:rPr>
          <w:b w:val="false"/>
          <w:bCs w:val="false"/>
          <w:u w:val="none"/>
        </w:rPr>
        <w:t xml:space="preserve">Enron is a neutrally positioned market maker.  We buy power as much as we sell it.  We have no preference for high prices over low prices.  Accordingly, Enron supports a liquid, transparent market that works well for producers, transporters, wholesalers, retailers, </w:t>
      </w:r>
      <w:r>
        <w:rPr>
          <w:b w:val="false"/>
          <w:bCs w:val="false"/>
        </w:rPr>
        <w:t>and their customers</w:t>
      </w:r>
    </w:p>
    <w:p>
      <w:pPr>
        <w:pStyle w:val="Heading"/>
        <w:spacing w:lineRule="auto" w:line="480"/>
        <w:jc w:val="both"/>
        <w:rPr>
          <w:b w:val="false"/>
          <w:bCs w:val="false"/>
          <w:u w:val="none"/>
        </w:rPr>
      </w:pPr>
      <w:r>
        <w:rPr>
          <w:b w:val="false"/>
          <w:bCs w:val="false"/>
          <w:u w:val="none"/>
        </w:rPr>
      </w:r>
    </w:p>
    <w:p>
      <w:pPr>
        <w:pStyle w:val="Heading"/>
        <w:numPr>
          <w:ilvl w:val="0"/>
          <w:numId w:val="6"/>
        </w:numPr>
        <w:spacing w:lineRule="auto" w:line="480"/>
        <w:jc w:val="both"/>
        <w:rPr>
          <w:b w:val="false"/>
          <w:bCs w:val="false"/>
          <w:u w:val="none"/>
        </w:rPr>
      </w:pPr>
      <w:r>
        <w:rPr>
          <w:b w:val="false"/>
          <w:bCs w:val="false"/>
          <w:u w:val="none"/>
        </w:rPr>
        <w:t>Enron offers hundreds of customized risk products with natural gas and electricity.  Those products give customers the degree of price certainty they desire, making self-help a viable option for energy users of all sizes and shapes</w:t>
      </w:r>
    </w:p>
    <w:p>
      <w:pPr>
        <w:pStyle w:val="Heading"/>
        <w:spacing w:lineRule="auto" w:line="480"/>
        <w:jc w:val="both"/>
        <w:rPr>
          <w:b w:val="false"/>
          <w:bCs w:val="false"/>
          <w:u w:val="none"/>
        </w:rPr>
      </w:pPr>
      <w:r>
        <w:rPr>
          <w:b w:val="false"/>
          <w:bCs w:val="false"/>
          <w:u w:val="none"/>
        </w:rPr>
      </w:r>
    </w:p>
    <w:p>
      <w:pPr>
        <w:pStyle w:val="Heading"/>
        <w:numPr>
          <w:ilvl w:val="0"/>
          <w:numId w:val="6"/>
        </w:numPr>
        <w:spacing w:lineRule="auto" w:line="480"/>
        <w:jc w:val="both"/>
        <w:rPr>
          <w:b w:val="false"/>
          <w:bCs w:val="false"/>
          <w:u w:val="none"/>
        </w:rPr>
      </w:pPr>
      <w:r>
        <w:rPr>
          <w:b w:val="false"/>
          <w:bCs w:val="false"/>
          <w:u w:val="none"/>
        </w:rPr>
        <w:t>Let me also say a word about Enron Canada</w:t>
      </w:r>
    </w:p>
    <w:p>
      <w:pPr>
        <w:pStyle w:val="Heading"/>
        <w:spacing w:lineRule="auto" w:line="480"/>
        <w:jc w:val="both"/>
        <w:rPr>
          <w:b w:val="false"/>
          <w:bCs w:val="false"/>
          <w:u w:val="none"/>
        </w:rPr>
      </w:pPr>
      <w:r>
        <w:rPr>
          <w:b w:val="false"/>
          <w:bCs w:val="false"/>
          <w:u w:val="none"/>
        </w:rPr>
      </w:r>
    </w:p>
    <w:p>
      <w:pPr>
        <w:pStyle w:val="Heading"/>
        <w:spacing w:lineRule="auto" w:line="480"/>
        <w:ind w:start="720" w:end="0"/>
        <w:jc w:val="both"/>
        <w:rPr>
          <w:b w:val="false"/>
          <w:bCs w:val="false"/>
          <w:u w:val="none"/>
        </w:rPr>
      </w:pPr>
      <w:r>
        <w:rPr>
          <w:b w:val="false"/>
          <w:bCs w:val="false"/>
          <w:u w:val="none"/>
        </w:rPr>
        <w:t xml:space="preserve">Enron Canada is already a leading energy marketer in this country: </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It is responsible for Enron’s activities in the Canadian energy sector, particularly gas and power trading, marketing, services and finance</w:t>
      </w:r>
    </w:p>
    <w:p>
      <w:pPr>
        <w:pStyle w:val="Heading"/>
        <w:spacing w:lineRule="auto" w:line="480"/>
        <w:ind w:start="360" w:end="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 xml:space="preserve">It started operations in 1991 and now has offices in both Toronto and Calgary </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It now employs 115 people, 20 of whom are in Toronto</w:t>
      </w:r>
    </w:p>
    <w:p>
      <w:pPr>
        <w:pStyle w:val="Heading"/>
        <w:spacing w:lineRule="auto" w:line="480"/>
        <w:ind w:start="360" w:end="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The company is already the largest buyer and seller of natural gas in Canada, trading in excess of 6 bcf of gas a day</w:t>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The company is increasingly active in the power sector</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In 2000, Enron Canada invested over $300 million in Alberta to acquire the power generated over the next 20 years from a 706 MW facility (Sundance B owned and operated by TransAlta)</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In Ontario, Enron Canada has been a very active participant in the efforts to restructure the Ontario power market and to help our customers get ready for the opening of the market</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The Toronto office has invested and continues to invest heavily in the development of the information and the business systems which Enron and its customers will need in the new Ontario marketplace</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Through ENERconnect, Enron Canada is providing wholesale and retail settlement services to over 40 distributors in the Province</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We are also providing risk management, energy commodity, and related services to industrial customers – we have already completed contracts and helped customers lock in prices in advance of market opening</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Enron Canada is also now actively exploring the way in which it can make its risk management and portfolio management services available to smaller customers</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The Ontario Electricity Finance Corporation has also recently awarded Enron Canada, through an RFP process, the responsibility for assisting OEFC in the management of the non-utility generation contracts formerly held by Ontario Hydro</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Enron Canada is in the process of developing and permitting a peaking power generation facility and related transmission facilities to be developed in Southwestern Ontario</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The company had originally intended to have that project up and running by June of 2001 but obviously had to put it on hold because of the delay in and uncertainty around market opening</w:t>
      </w:r>
    </w:p>
    <w:p>
      <w:pPr>
        <w:pStyle w:val="Heading"/>
        <w:spacing w:lineRule="auto" w:line="480"/>
        <w:jc w:val="both"/>
        <w:rPr>
          <w:b w:val="false"/>
          <w:bCs w:val="false"/>
          <w:u w:val="none"/>
        </w:rPr>
      </w:pPr>
      <w:r>
        <w:rPr>
          <w:b w:val="false"/>
          <w:bCs w:val="false"/>
          <w:u w:val="none"/>
        </w:rPr>
      </w:r>
    </w:p>
    <w:p>
      <w:pPr>
        <w:pStyle w:val="Heading"/>
        <w:numPr>
          <w:ilvl w:val="0"/>
          <w:numId w:val="11"/>
        </w:numPr>
        <w:spacing w:lineRule="auto" w:line="480"/>
        <w:jc w:val="both"/>
        <w:rPr>
          <w:b w:val="false"/>
          <w:bCs w:val="false"/>
          <w:u w:val="none"/>
        </w:rPr>
      </w:pPr>
      <w:r>
        <w:rPr>
          <w:b w:val="false"/>
          <w:bCs w:val="false"/>
          <w:u w:val="none"/>
        </w:rPr>
        <w:t>The project – upon completion – would represent an investment of about $250 million in the Province</w:t>
      </w:r>
    </w:p>
    <w:p>
      <w:pPr>
        <w:pStyle w:val="Heading"/>
        <w:spacing w:lineRule="auto" w:line="480"/>
        <w:jc w:val="both"/>
        <w:rPr>
          <w:b w:val="false"/>
          <w:bCs w:val="false"/>
          <w:u w:val="none"/>
        </w:rPr>
      </w:pPr>
      <w:r>
        <w:rPr>
          <w:b w:val="false"/>
          <w:bCs w:val="false"/>
          <w:u w:val="none"/>
        </w:rPr>
      </w:r>
    </w:p>
    <w:p>
      <w:pPr>
        <w:pStyle w:val="Heading"/>
        <w:spacing w:lineRule="auto" w:line="480"/>
        <w:ind w:start="720" w:end="0"/>
        <w:jc w:val="both"/>
        <w:rPr>
          <w:b w:val="false"/>
          <w:bCs w:val="false"/>
          <w:u w:val="none"/>
        </w:rPr>
      </w:pPr>
      <w:r>
        <w:rPr>
          <w:b w:val="false"/>
          <w:bCs w:val="false"/>
          <w:u w:val="none"/>
        </w:rPr>
        <w:t>Given the broad scope of Enron Canada’s business, you can understand why the company has become such a fertile source of top talent for Enron Corp.  Two top Enron executives have come from Canada to head some of our very largest Houston operations:</w:t>
      </w:r>
    </w:p>
    <w:p>
      <w:pPr>
        <w:pStyle w:val="Heading"/>
        <w:spacing w:lineRule="auto" w:line="480"/>
        <w:jc w:val="both"/>
        <w:rPr>
          <w:b w:val="false"/>
          <w:bCs w:val="false"/>
          <w:u w:val="none"/>
        </w:rPr>
      </w:pPr>
      <w:r>
        <w:rPr>
          <w:b w:val="false"/>
          <w:bCs w:val="false"/>
          <w:u w:val="none"/>
        </w:rPr>
      </w:r>
    </w:p>
    <w:p>
      <w:pPr>
        <w:pStyle w:val="Heading"/>
        <w:spacing w:lineRule="auto" w:line="480"/>
        <w:ind w:start="1440" w:end="0"/>
        <w:jc w:val="both"/>
        <w:rPr/>
      </w:pPr>
      <w:r>
        <w:rPr>
          <w:u w:val="none"/>
        </w:rPr>
        <w:t>Dave Delainey</w:t>
      </w:r>
      <w:r>
        <w:rPr>
          <w:b w:val="false"/>
          <w:bCs w:val="false"/>
          <w:u w:val="none"/>
        </w:rPr>
        <w:t xml:space="preserve"> is the new Chairman of Enron Energy Services, our energy outsourcing company that has over U.S. $20 billion in long-term energy contracts.  Dave is a native of Saskatchewan and was instrumental in building Enron Canada, including the Toronto office.</w:t>
      </w:r>
    </w:p>
    <w:p>
      <w:pPr>
        <w:pStyle w:val="Heading"/>
        <w:spacing w:lineRule="auto" w:line="480"/>
        <w:ind w:start="720" w:end="0"/>
        <w:jc w:val="both"/>
        <w:rPr>
          <w:b w:val="false"/>
          <w:bCs w:val="false"/>
          <w:u w:val="none"/>
        </w:rPr>
      </w:pPr>
      <w:r>
        <w:rPr>
          <w:b w:val="false"/>
          <w:bCs w:val="false"/>
          <w:u w:val="none"/>
        </w:rPr>
      </w:r>
    </w:p>
    <w:p>
      <w:pPr>
        <w:pStyle w:val="Heading"/>
        <w:spacing w:lineRule="auto" w:line="480"/>
        <w:ind w:start="1440" w:end="0"/>
        <w:jc w:val="both"/>
        <w:rPr/>
      </w:pPr>
      <w:r>
        <w:rPr>
          <w:u w:val="none"/>
        </w:rPr>
        <w:t>John Lavorato</w:t>
      </w:r>
      <w:r>
        <w:rPr>
          <w:b w:val="false"/>
          <w:bCs w:val="false"/>
          <w:u w:val="none"/>
        </w:rPr>
        <w:t xml:space="preserve"> is the new president and CEO of Enron – The Americas, our single largest subsidiary, which runs Enron’s wholesale commodity business throughout the Americas.  John is a native of Toronto, a graduate of the University of Western Ontario, and the former President of Enron Canada.  John is here today.</w:t>
      </w:r>
    </w:p>
    <w:p>
      <w:pPr>
        <w:pStyle w:val="Heading"/>
        <w:spacing w:lineRule="auto" w:line="480"/>
        <w:ind w:start="720" w:end="0"/>
        <w:jc w:val="both"/>
        <w:rPr>
          <w:b w:val="false"/>
          <w:bCs w:val="false"/>
          <w:u w:val="none"/>
        </w:rPr>
      </w:pPr>
      <w:r>
        <w:rPr>
          <w:b w:val="false"/>
          <w:bCs w:val="false"/>
          <w:u w:val="none"/>
        </w:rPr>
      </w:r>
    </w:p>
    <w:p>
      <w:pPr>
        <w:pStyle w:val="Heading"/>
        <w:numPr>
          <w:ilvl w:val="0"/>
          <w:numId w:val="21"/>
        </w:numPr>
        <w:spacing w:lineRule="auto" w:line="480"/>
        <w:jc w:val="both"/>
        <w:rPr>
          <w:b w:val="false"/>
          <w:bCs w:val="false"/>
          <w:u w:val="none"/>
        </w:rPr>
      </w:pPr>
      <w:r>
        <w:rPr>
          <w:b w:val="false"/>
          <w:bCs w:val="false"/>
          <w:u w:val="none"/>
        </w:rPr>
        <w:t>At this rate, we will soon be flying the Maple Leaf in Houston!</w:t>
      </w:r>
    </w:p>
    <w:p>
      <w:pPr>
        <w:pStyle w:val="Heading"/>
        <w:spacing w:lineRule="auto" w:line="480"/>
        <w:jc w:val="both"/>
        <w:rPr>
          <w:b w:val="false"/>
          <w:bCs w:val="false"/>
          <w:u w:val="none"/>
        </w:rPr>
      </w:pPr>
      <w:r>
        <w:rPr>
          <w:b w:val="false"/>
          <w:bCs w:val="false"/>
          <w:u w:val="none"/>
        </w:rPr>
      </w:r>
    </w:p>
    <w:p>
      <w:pPr>
        <w:pStyle w:val="Heading"/>
        <w:spacing w:lineRule="auto" w:line="480"/>
        <w:jc w:val="both"/>
        <w:rPr>
          <w:u w:val="none"/>
        </w:rPr>
      </w:pPr>
      <w:r>
        <w:rPr>
          <w:u w:val="none"/>
        </w:rPr>
        <w:t>Part I: Crisis in California – Why Ontario is Different</w:t>
      </w:r>
    </w:p>
    <w:p>
      <w:pPr>
        <w:pStyle w:val="Heading"/>
        <w:spacing w:lineRule="auto" w:line="48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I want to turn from the north to the west – to California</w:t>
      </w:r>
    </w:p>
    <w:p>
      <w:pPr>
        <w:pStyle w:val="Heading"/>
        <w:spacing w:lineRule="auto" w:line="480"/>
        <w:ind w:start="360" w:end="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California has a full-blown energy crisis – an electricity shortage that will probably get worse, and maybe much worse, before it gets better</w:t>
      </w:r>
    </w:p>
    <w:p>
      <w:pPr>
        <w:pStyle w:val="Heading"/>
        <w:spacing w:lineRule="auto" w:line="480"/>
        <w:ind w:start="360" w:end="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As U.S. Energy Secretary Spencer Abraham recently stated, the situation in California “won’t fix itself”</w:t>
      </w:r>
    </w:p>
    <w:p>
      <w:pPr>
        <w:pStyle w:val="Heading"/>
        <w:spacing w:lineRule="auto" w:line="48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It’s going to take bold leadership from the state to address the problems in California</w:t>
      </w:r>
    </w:p>
    <w:p>
      <w:pPr>
        <w:pStyle w:val="Heading"/>
        <w:spacing w:lineRule="auto" w:line="48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Enron has been very active in the efforts to craft a solution to the crisis – both in the short-term and the longer-term</w:t>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I know that others who have spoken at the Board of Trade over the last month or so – David Goulding, CEO of the IMO and Bob Green, CEO of Utilicorp – have highlighted the difference between the circumstances in California and those in Ontario</w:t>
      </w:r>
    </w:p>
    <w:p>
      <w:pPr>
        <w:pStyle w:val="Heading"/>
        <w:spacing w:lineRule="auto" w:line="480"/>
        <w:ind w:start="720" w:end="0"/>
        <w:jc w:val="both"/>
        <w:rPr>
          <w:b w:val="false"/>
          <w:bCs w:val="false"/>
          <w:u w:val="none"/>
        </w:rPr>
      </w:pPr>
      <w:r>
        <w:rPr>
          <w:b w:val="false"/>
          <w:bCs w:val="false"/>
          <w:u w:val="none"/>
        </w:rPr>
        <w:t>[note to draft:  I will provide copies of Goulding and Green speeches]</w:t>
      </w:r>
    </w:p>
    <w:p>
      <w:pPr>
        <w:pStyle w:val="Heading"/>
        <w:spacing w:lineRule="auto" w:line="480"/>
        <w:ind w:start="720" w:end="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I do not want to go over again the ground that they have so thoroughly reviewed, though I would be pleased to entertain questions after my remarks</w:t>
      </w:r>
    </w:p>
    <w:p>
      <w:pPr>
        <w:pStyle w:val="Heading"/>
        <w:spacing w:lineRule="auto" w:line="480"/>
        <w:jc w:val="both"/>
        <w:rPr>
          <w:b w:val="false"/>
          <w:bCs w:val="false"/>
          <w:u w:val="none"/>
        </w:rPr>
      </w:pPr>
      <w:r>
        <w:rPr>
          <w:b w:val="false"/>
          <w:bCs w:val="false"/>
          <w:u w:val="none"/>
        </w:rPr>
      </w:r>
    </w:p>
    <w:p>
      <w:pPr>
        <w:pStyle w:val="Heading"/>
        <w:numPr>
          <w:ilvl w:val="0"/>
          <w:numId w:val="25"/>
        </w:numPr>
        <w:spacing w:lineRule="auto" w:line="480"/>
        <w:jc w:val="both"/>
        <w:rPr>
          <w:b w:val="false"/>
          <w:bCs w:val="false"/>
          <w:u w:val="none"/>
        </w:rPr>
      </w:pPr>
      <w:r>
        <w:rPr>
          <w:b w:val="false"/>
          <w:bCs w:val="false"/>
          <w:u w:val="none"/>
        </w:rPr>
        <w:t>However, from our perspective, it is worthwhile highlighting two circumstances that, in our view, make Ontario fundamentally different from California:</w:t>
      </w:r>
    </w:p>
    <w:p>
      <w:pPr>
        <w:pStyle w:val="Heading"/>
        <w:spacing w:lineRule="auto" w:line="480"/>
        <w:ind w:start="360" w:end="0"/>
        <w:jc w:val="both"/>
        <w:rPr>
          <w:b w:val="false"/>
          <w:bCs w:val="false"/>
          <w:u w:val="none"/>
        </w:rPr>
      </w:pPr>
      <w:r>
        <w:rPr>
          <w:b w:val="false"/>
          <w:bCs w:val="false"/>
          <w:u w:val="none"/>
        </w:rPr>
      </w:r>
    </w:p>
    <w:p>
      <w:pPr>
        <w:pStyle w:val="Heading"/>
        <w:numPr>
          <w:ilvl w:val="0"/>
          <w:numId w:val="10"/>
        </w:numPr>
        <w:spacing w:lineRule="auto" w:line="480"/>
        <w:jc w:val="both"/>
        <w:rPr>
          <w:u w:val="none"/>
        </w:rPr>
      </w:pPr>
      <w:r>
        <w:rPr>
          <w:u w:val="none"/>
        </w:rPr>
        <w:t>Demand/Supply Balance</w:t>
      </w:r>
    </w:p>
    <w:p>
      <w:pPr>
        <w:pStyle w:val="Heading"/>
        <w:numPr>
          <w:ilvl w:val="1"/>
          <w:numId w:val="10"/>
        </w:numPr>
        <w:spacing w:lineRule="auto" w:line="480"/>
        <w:jc w:val="both"/>
        <w:rPr>
          <w:b w:val="false"/>
          <w:bCs w:val="false"/>
          <w:u w:val="none"/>
        </w:rPr>
      </w:pPr>
      <w:r>
        <w:rPr>
          <w:b w:val="false"/>
          <w:bCs w:val="false"/>
          <w:u w:val="none"/>
        </w:rPr>
        <w:t>California has a reserve margin in the range of 5-6% - a reserve margin that continues to decline – hence, the blackouts Californians have suffered in recent weeks</w:t>
      </w:r>
    </w:p>
    <w:p>
      <w:pPr>
        <w:pStyle w:val="Heading"/>
        <w:spacing w:lineRule="auto" w:line="480"/>
        <w:ind w:start="2160" w:end="0"/>
        <w:jc w:val="both"/>
        <w:rPr>
          <w:b w:val="false"/>
          <w:bCs w:val="false"/>
          <w:u w:val="none"/>
        </w:rPr>
      </w:pPr>
      <w:r>
        <w:rPr>
          <w:b w:val="false"/>
          <w:bCs w:val="false"/>
          <w:u w:val="none"/>
        </w:rPr>
      </w:r>
    </w:p>
    <w:p>
      <w:pPr>
        <w:pStyle w:val="Heading"/>
        <w:numPr>
          <w:ilvl w:val="1"/>
          <w:numId w:val="10"/>
        </w:numPr>
        <w:spacing w:lineRule="auto" w:line="480"/>
        <w:jc w:val="both"/>
        <w:rPr>
          <w:b w:val="false"/>
          <w:bCs w:val="false"/>
          <w:u w:val="none"/>
        </w:rPr>
      </w:pPr>
      <w:r>
        <w:rPr>
          <w:b w:val="false"/>
          <w:bCs w:val="false"/>
          <w:u w:val="none"/>
        </w:rPr>
        <w:t>The reserve margin in Ontario is far better</w:t>
      </w:r>
    </w:p>
    <w:p>
      <w:pPr>
        <w:pStyle w:val="Heading"/>
        <w:spacing w:lineRule="auto" w:line="480"/>
        <w:jc w:val="both"/>
        <w:rPr>
          <w:b w:val="false"/>
          <w:bCs w:val="false"/>
          <w:u w:val="none"/>
        </w:rPr>
      </w:pPr>
      <w:r>
        <w:rPr>
          <w:b w:val="false"/>
          <w:bCs w:val="false"/>
          <w:u w:val="none"/>
        </w:rPr>
      </w:r>
    </w:p>
    <w:p>
      <w:pPr>
        <w:pStyle w:val="Heading"/>
        <w:numPr>
          <w:ilvl w:val="1"/>
          <w:numId w:val="10"/>
        </w:numPr>
        <w:spacing w:lineRule="auto" w:line="480"/>
        <w:jc w:val="both"/>
        <w:rPr>
          <w:b w:val="false"/>
          <w:bCs w:val="false"/>
          <w:u w:val="none"/>
        </w:rPr>
      </w:pPr>
      <w:r>
        <w:rPr>
          <w:b w:val="false"/>
          <w:bCs w:val="false"/>
          <w:u w:val="none"/>
        </w:rPr>
        <w:t>At the present time, the IMO has estimated that margin at 18%, about the average for the U.S. markets to which Ontario is connected</w:t>
      </w:r>
    </w:p>
    <w:p>
      <w:pPr>
        <w:pStyle w:val="Heading"/>
        <w:spacing w:lineRule="auto" w:line="480"/>
        <w:jc w:val="both"/>
        <w:rPr>
          <w:b w:val="false"/>
          <w:bCs w:val="false"/>
          <w:u w:val="none"/>
        </w:rPr>
      </w:pPr>
      <w:r>
        <w:rPr>
          <w:b w:val="false"/>
          <w:bCs w:val="false"/>
          <w:u w:val="none"/>
        </w:rPr>
      </w:r>
    </w:p>
    <w:p>
      <w:pPr>
        <w:pStyle w:val="Heading"/>
        <w:numPr>
          <w:ilvl w:val="1"/>
          <w:numId w:val="10"/>
        </w:numPr>
        <w:spacing w:lineRule="auto" w:line="480"/>
        <w:jc w:val="both"/>
        <w:rPr>
          <w:b w:val="false"/>
          <w:bCs w:val="false"/>
          <w:u w:val="none"/>
        </w:rPr>
      </w:pPr>
      <w:r>
        <w:rPr>
          <w:b w:val="false"/>
          <w:bCs w:val="false"/>
          <w:u w:val="none"/>
        </w:rPr>
        <w:t>That estimate by the IMO is consistent with our own assessment of Ontario reserves</w:t>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numPr>
          <w:ilvl w:val="1"/>
          <w:numId w:val="10"/>
        </w:numPr>
        <w:spacing w:lineRule="auto" w:line="480"/>
        <w:jc w:val="both"/>
        <w:rPr>
          <w:b w:val="false"/>
          <w:bCs w:val="false"/>
          <w:u w:val="none"/>
        </w:rPr>
      </w:pPr>
      <w:r>
        <w:rPr>
          <w:b w:val="false"/>
          <w:bCs w:val="false"/>
          <w:u w:val="none"/>
        </w:rPr>
        <w:t>Moreover, where one looks at resource adequacy in Ontario, one should note the value to Ontario and Ontario consumers of the ability to buy power from the connected U.S. markets</w:t>
      </w:r>
    </w:p>
    <w:p>
      <w:pPr>
        <w:pStyle w:val="Heading"/>
        <w:spacing w:lineRule="auto" w:line="480"/>
        <w:jc w:val="both"/>
        <w:rPr>
          <w:b w:val="false"/>
          <w:bCs w:val="false"/>
          <w:u w:val="none"/>
        </w:rPr>
      </w:pPr>
      <w:r>
        <w:rPr>
          <w:b w:val="false"/>
          <w:bCs w:val="false"/>
          <w:u w:val="none"/>
        </w:rPr>
      </w:r>
    </w:p>
    <w:p>
      <w:pPr>
        <w:pStyle w:val="Heading"/>
        <w:numPr>
          <w:ilvl w:val="1"/>
          <w:numId w:val="10"/>
        </w:numPr>
        <w:spacing w:lineRule="auto" w:line="480"/>
        <w:jc w:val="both"/>
        <w:rPr>
          <w:b w:val="false"/>
          <w:bCs w:val="false"/>
          <w:u w:val="none"/>
        </w:rPr>
      </w:pPr>
      <w:r>
        <w:rPr>
          <w:b w:val="false"/>
          <w:bCs w:val="false"/>
          <w:u w:val="none"/>
        </w:rPr>
        <w:t>This is particularly true in the winter months</w:t>
      </w:r>
    </w:p>
    <w:p>
      <w:pPr>
        <w:pStyle w:val="Heading"/>
        <w:spacing w:lineRule="auto" w:line="480"/>
        <w:ind w:start="1440" w:end="0"/>
        <w:jc w:val="both"/>
        <w:rPr>
          <w:b w:val="false"/>
          <w:bCs w:val="false"/>
          <w:u w:val="none"/>
        </w:rPr>
      </w:pPr>
      <w:r>
        <w:rPr>
          <w:b w:val="false"/>
          <w:bCs w:val="false"/>
          <w:u w:val="none"/>
        </w:rPr>
      </w:r>
    </w:p>
    <w:p>
      <w:pPr>
        <w:pStyle w:val="Heading"/>
        <w:numPr>
          <w:ilvl w:val="0"/>
          <w:numId w:val="24"/>
        </w:numPr>
        <w:spacing w:lineRule="auto" w:line="480"/>
        <w:jc w:val="both"/>
        <w:rPr>
          <w:b w:val="false"/>
          <w:bCs w:val="false"/>
          <w:u w:val="none"/>
        </w:rPr>
      </w:pPr>
      <w:r>
        <w:rPr>
          <w:b w:val="false"/>
          <w:bCs w:val="false"/>
          <w:u w:val="none"/>
        </w:rPr>
        <w:t>Ontario’s demand peaks in the winter months, whereas demand in those U.S. markets peaks in the summer</w:t>
      </w:r>
    </w:p>
    <w:p>
      <w:pPr>
        <w:pStyle w:val="Heading"/>
        <w:spacing w:lineRule="auto" w:line="480"/>
        <w:ind w:start="1800" w:end="0"/>
        <w:jc w:val="both"/>
        <w:rPr>
          <w:b w:val="false"/>
          <w:bCs w:val="false"/>
          <w:u w:val="none"/>
        </w:rPr>
      </w:pPr>
      <w:r>
        <w:rPr>
          <w:b w:val="false"/>
          <w:bCs w:val="false"/>
          <w:u w:val="none"/>
        </w:rPr>
      </w:r>
    </w:p>
    <w:p>
      <w:pPr>
        <w:pStyle w:val="Heading"/>
        <w:numPr>
          <w:ilvl w:val="0"/>
          <w:numId w:val="24"/>
        </w:numPr>
        <w:spacing w:lineRule="auto" w:line="480"/>
        <w:jc w:val="both"/>
        <w:rPr>
          <w:b w:val="false"/>
          <w:bCs w:val="false"/>
          <w:u w:val="none"/>
        </w:rPr>
      </w:pPr>
      <w:r>
        <w:rPr>
          <w:b w:val="false"/>
          <w:bCs w:val="false"/>
          <w:u w:val="none"/>
        </w:rPr>
        <w:t>Accordingly, the opportunity for interjurisdictional trading gives Ontario access to these surplus resources in the winter months</w:t>
      </w:r>
    </w:p>
    <w:p>
      <w:pPr>
        <w:pStyle w:val="Heading"/>
        <w:spacing w:lineRule="auto" w:line="480"/>
        <w:jc w:val="both"/>
        <w:rPr>
          <w:b w:val="false"/>
          <w:bCs w:val="false"/>
          <w:u w:val="none"/>
        </w:rPr>
      </w:pPr>
      <w:r>
        <w:rPr>
          <w:b w:val="false"/>
          <w:bCs w:val="false"/>
          <w:u w:val="none"/>
        </w:rPr>
      </w:r>
    </w:p>
    <w:p>
      <w:pPr>
        <w:pStyle w:val="Heading"/>
        <w:numPr>
          <w:ilvl w:val="0"/>
          <w:numId w:val="24"/>
        </w:numPr>
        <w:spacing w:lineRule="auto" w:line="480"/>
        <w:jc w:val="both"/>
        <w:rPr>
          <w:b w:val="false"/>
          <w:bCs w:val="false"/>
          <w:u w:val="none"/>
        </w:rPr>
      </w:pPr>
      <w:r>
        <w:rPr>
          <w:b w:val="false"/>
          <w:bCs w:val="false"/>
          <w:u w:val="none"/>
        </w:rPr>
        <w:t>Access to those generation resources gives Ontario a valuable and natural hedge against any significant price spikes at the period of peak winter demand in Ontario</w:t>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numPr>
          <w:ilvl w:val="1"/>
          <w:numId w:val="24"/>
        </w:numPr>
        <w:tabs>
          <w:tab w:val="clear" w:pos="720"/>
        </w:tabs>
        <w:spacing w:lineRule="auto" w:line="480"/>
        <w:ind w:hanging="360" w:start="1800" w:end="0"/>
        <w:jc w:val="both"/>
        <w:rPr>
          <w:b w:val="false"/>
          <w:bCs w:val="false"/>
          <w:u w:val="none"/>
        </w:rPr>
      </w:pPr>
      <w:r>
        <w:rPr>
          <w:b w:val="false"/>
          <w:bCs w:val="false"/>
          <w:u w:val="none"/>
        </w:rPr>
        <w:t>Despite the current adequacy of Ontario’s reserve margin, our own assessment is that Ontario will increasingly need smaller, more flexible generation resources</w:t>
      </w:r>
    </w:p>
    <w:p>
      <w:pPr>
        <w:pStyle w:val="Heading"/>
        <w:spacing w:lineRule="auto" w:line="480"/>
        <w:ind w:start="1440" w:end="0"/>
        <w:jc w:val="both"/>
        <w:rPr>
          <w:b w:val="false"/>
          <w:bCs w:val="false"/>
          <w:u w:val="none"/>
        </w:rPr>
      </w:pPr>
      <w:r>
        <w:rPr>
          <w:b w:val="false"/>
          <w:bCs w:val="false"/>
          <w:u w:val="none"/>
        </w:rPr>
      </w:r>
    </w:p>
    <w:p>
      <w:pPr>
        <w:pStyle w:val="Heading"/>
        <w:numPr>
          <w:ilvl w:val="1"/>
          <w:numId w:val="24"/>
        </w:numPr>
        <w:tabs>
          <w:tab w:val="clear" w:pos="720"/>
        </w:tabs>
        <w:spacing w:lineRule="auto" w:line="480"/>
        <w:ind w:hanging="360" w:start="1800" w:end="0"/>
        <w:jc w:val="both"/>
        <w:rPr>
          <w:b w:val="false"/>
          <w:bCs w:val="false"/>
          <w:u w:val="none"/>
        </w:rPr>
      </w:pPr>
      <w:r>
        <w:rPr>
          <w:b w:val="false"/>
          <w:bCs w:val="false"/>
          <w:u w:val="none"/>
        </w:rPr>
        <w:t>Increasing the number of such units will enhance system reliability by alleviating Ontario’s reliance on large, and relatively inflexible generation resources</w:t>
      </w:r>
    </w:p>
    <w:p>
      <w:pPr>
        <w:pStyle w:val="Heading"/>
        <w:spacing w:lineRule="auto" w:line="480"/>
        <w:jc w:val="both"/>
        <w:rPr>
          <w:b w:val="false"/>
          <w:bCs w:val="false"/>
          <w:u w:val="none"/>
        </w:rPr>
      </w:pPr>
      <w:r>
        <w:rPr>
          <w:b w:val="false"/>
          <w:bCs w:val="false"/>
          <w:u w:val="none"/>
        </w:rPr>
      </w:r>
    </w:p>
    <w:p>
      <w:pPr>
        <w:pStyle w:val="Heading"/>
        <w:numPr>
          <w:ilvl w:val="2"/>
          <w:numId w:val="24"/>
        </w:numPr>
        <w:tabs>
          <w:tab w:val="clear" w:pos="720"/>
        </w:tabs>
        <w:spacing w:lineRule="auto" w:line="480"/>
        <w:ind w:hanging="360" w:start="2160" w:end="0"/>
        <w:jc w:val="both"/>
        <w:rPr>
          <w:b w:val="false"/>
          <w:bCs w:val="false"/>
          <w:u w:val="none"/>
        </w:rPr>
      </w:pPr>
      <w:r>
        <w:rPr>
          <w:b w:val="false"/>
          <w:bCs w:val="false"/>
          <w:u w:val="none"/>
        </w:rPr>
        <w:t>Nuclear units that are inflexible in their operation (on or off)</w:t>
      </w:r>
    </w:p>
    <w:p>
      <w:pPr>
        <w:pStyle w:val="Heading"/>
        <w:spacing w:lineRule="auto" w:line="480"/>
        <w:ind w:start="1800" w:end="0"/>
        <w:jc w:val="both"/>
        <w:rPr>
          <w:b w:val="false"/>
          <w:bCs w:val="false"/>
          <w:u w:val="none"/>
        </w:rPr>
      </w:pPr>
      <w:r>
        <w:rPr>
          <w:b w:val="false"/>
          <w:bCs w:val="false"/>
          <w:u w:val="none"/>
        </w:rPr>
      </w:r>
    </w:p>
    <w:p>
      <w:pPr>
        <w:pStyle w:val="Heading"/>
        <w:numPr>
          <w:ilvl w:val="2"/>
          <w:numId w:val="24"/>
        </w:numPr>
        <w:tabs>
          <w:tab w:val="clear" w:pos="720"/>
        </w:tabs>
        <w:spacing w:lineRule="auto" w:line="480"/>
        <w:ind w:hanging="360" w:start="2160" w:end="0"/>
        <w:jc w:val="both"/>
        <w:rPr>
          <w:b w:val="false"/>
          <w:bCs w:val="false"/>
          <w:u w:val="none"/>
        </w:rPr>
      </w:pPr>
      <w:r>
        <w:rPr>
          <w:b w:val="false"/>
          <w:bCs w:val="false"/>
          <w:u w:val="none"/>
        </w:rPr>
        <w:t>Coal units that are constrained by emission caps</w:t>
      </w:r>
    </w:p>
    <w:p>
      <w:pPr>
        <w:pStyle w:val="Heading"/>
        <w:spacing w:lineRule="auto" w:line="480"/>
        <w:jc w:val="both"/>
        <w:rPr>
          <w:b w:val="false"/>
          <w:bCs w:val="false"/>
          <w:u w:val="none"/>
        </w:rPr>
      </w:pPr>
      <w:r>
        <w:rPr>
          <w:b w:val="false"/>
          <w:bCs w:val="false"/>
          <w:u w:val="none"/>
        </w:rPr>
      </w:r>
    </w:p>
    <w:p>
      <w:pPr>
        <w:pStyle w:val="Heading"/>
        <w:numPr>
          <w:ilvl w:val="2"/>
          <w:numId w:val="24"/>
        </w:numPr>
        <w:tabs>
          <w:tab w:val="clear" w:pos="720"/>
        </w:tabs>
        <w:spacing w:lineRule="auto" w:line="480"/>
        <w:ind w:hanging="360" w:start="2160" w:end="0"/>
        <w:jc w:val="both"/>
        <w:rPr>
          <w:b w:val="false"/>
          <w:bCs w:val="false"/>
          <w:u w:val="none"/>
        </w:rPr>
      </w:pPr>
      <w:r>
        <w:rPr>
          <w:b w:val="false"/>
          <w:bCs w:val="false"/>
          <w:u w:val="none"/>
        </w:rPr>
        <w:t>Hydro resources which, for the most part, lack the significant storage capacity we see in British Columbia and Quebec</w:t>
      </w:r>
    </w:p>
    <w:p>
      <w:pPr>
        <w:pStyle w:val="Heading"/>
        <w:spacing w:lineRule="auto" w:line="480"/>
        <w:jc w:val="both"/>
        <w:rPr>
          <w:b w:val="false"/>
          <w:bCs w:val="false"/>
          <w:u w:val="none"/>
        </w:rPr>
      </w:pPr>
      <w:r>
        <w:rPr>
          <w:b w:val="false"/>
          <w:bCs w:val="false"/>
          <w:u w:val="none"/>
        </w:rPr>
      </w:r>
    </w:p>
    <w:p>
      <w:pPr>
        <w:pStyle w:val="Heading"/>
        <w:numPr>
          <w:ilvl w:val="3"/>
          <w:numId w:val="24"/>
        </w:numPr>
        <w:tabs>
          <w:tab w:val="clear" w:pos="720"/>
          <w:tab w:val="left" w:pos="360" w:leader="none"/>
        </w:tabs>
        <w:spacing w:lineRule="auto" w:line="480"/>
        <w:ind w:hanging="360" w:start="360" w:end="0"/>
        <w:jc w:val="both"/>
        <w:rPr>
          <w:b w:val="false"/>
          <w:bCs w:val="false"/>
          <w:u w:val="none"/>
        </w:rPr>
      </w:pPr>
      <w:r>
        <w:rPr>
          <w:b w:val="false"/>
          <w:bCs w:val="false"/>
          <w:u w:val="none"/>
        </w:rPr>
        <w:t>Ontario’s adequate reserve margin is not an excuse for further delay in opening the market but a reason to proceed so people can, with confidence, develop the resources the Province will need</w:t>
      </w:r>
    </w:p>
    <w:p>
      <w:pPr>
        <w:pStyle w:val="Heading"/>
        <w:spacing w:lineRule="auto" w:line="480"/>
        <w:jc w:val="both"/>
        <w:rPr>
          <w:b w:val="false"/>
          <w:bCs w:val="false"/>
          <w:u w:val="none"/>
        </w:rPr>
      </w:pPr>
      <w:r>
        <w:rPr>
          <w:b w:val="false"/>
          <w:bCs w:val="false"/>
          <w:u w:val="none"/>
        </w:rPr>
      </w:r>
    </w:p>
    <w:p>
      <w:pPr>
        <w:pStyle w:val="Heading"/>
        <w:numPr>
          <w:ilvl w:val="0"/>
          <w:numId w:val="10"/>
        </w:numPr>
        <w:spacing w:lineRule="auto" w:line="480"/>
        <w:jc w:val="both"/>
        <w:rPr>
          <w:u w:val="none"/>
        </w:rPr>
      </w:pPr>
      <w:r>
        <w:rPr>
          <w:u w:val="none"/>
        </w:rPr>
        <w:t>Scope of Demand-Side Response</w:t>
      </w:r>
    </w:p>
    <w:p>
      <w:pPr>
        <w:pStyle w:val="Heading"/>
        <w:numPr>
          <w:ilvl w:val="0"/>
          <w:numId w:val="12"/>
        </w:numPr>
        <w:spacing w:lineRule="auto" w:line="480"/>
        <w:jc w:val="both"/>
        <w:rPr>
          <w:b w:val="false"/>
          <w:bCs w:val="false"/>
          <w:u w:val="none"/>
        </w:rPr>
      </w:pPr>
      <w:r>
        <w:rPr>
          <w:b w:val="false"/>
          <w:bCs w:val="false"/>
          <w:u w:val="none"/>
        </w:rPr>
        <w:t>In California, the regulator capped retail prices charged by the incumbent utilities at levels significantly below the prevailing wholesale market prices – accordingly, customers did not – and still do not – see the true cost of the power they are consuming</w:t>
      </w:r>
    </w:p>
    <w:p>
      <w:pPr>
        <w:pStyle w:val="Heading"/>
        <w:spacing w:lineRule="auto" w:line="480"/>
        <w:ind w:start="1440" w:end="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In the Ontario market design, there is far greater scope for consumers to respond to and reduce consumption in response to price signals</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In Ontario, unlike California, a very high portion of the industrial and commercial market will be exposed to hourly spot prices</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With hourly spot pricing, a relatively small amount of demand-side response by industrial and commercial customers will serve to reduce peak demand and, as a consequence, mitigate peak prices</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This point is well illustrated by a recent study by the Electric Power Research Institute</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That study estimates that last year in the California market, a 2.5% reduction in load could have reduced wholesale power prices by about 24%</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However, unlike California, the Ontario market design ensures that consumers have a strong incentive to manage their load</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Ontario has gone much further than any other North American jurisdiction towards incorporating the demand side into the market design</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This is a very good initiative</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California is just now – in the middle of a crisis – struggling to incorporate the type of demand-side mechanism Ontario will have from the outset</w:t>
      </w:r>
    </w:p>
    <w:p>
      <w:pPr>
        <w:pStyle w:val="Heading"/>
        <w:spacing w:lineRule="auto" w:line="480"/>
        <w:jc w:val="both"/>
        <w:rPr>
          <w:b w:val="false"/>
          <w:bCs w:val="false"/>
          <w:u w:val="none"/>
        </w:rPr>
      </w:pPr>
      <w:r>
        <w:rPr>
          <w:b w:val="false"/>
          <w:bCs w:val="false"/>
          <w:u w:val="none"/>
        </w:rPr>
      </w:r>
    </w:p>
    <w:p>
      <w:pPr>
        <w:pStyle w:val="Heading"/>
        <w:numPr>
          <w:ilvl w:val="0"/>
          <w:numId w:val="12"/>
        </w:numPr>
        <w:spacing w:lineRule="auto" w:line="480"/>
        <w:jc w:val="both"/>
        <w:rPr>
          <w:b w:val="false"/>
          <w:bCs w:val="false"/>
          <w:u w:val="none"/>
        </w:rPr>
      </w:pPr>
      <w:r>
        <w:rPr>
          <w:b w:val="false"/>
          <w:bCs w:val="false"/>
          <w:u w:val="none"/>
        </w:rPr>
        <w:t>Going forward, increasing opportunities for demand side management is going to be just as important as finding and building new sources of supply</w:t>
      </w:r>
    </w:p>
    <w:p>
      <w:pPr>
        <w:pStyle w:val="Heading"/>
        <w:spacing w:lineRule="auto" w:line="480"/>
        <w:jc w:val="both"/>
        <w:rPr>
          <w:b w:val="false"/>
          <w:bCs w:val="false"/>
          <w:u w:val="none"/>
        </w:rPr>
      </w:pPr>
      <w:r>
        <w:rPr>
          <w:b w:val="false"/>
          <w:bCs w:val="false"/>
          <w:u w:val="none"/>
        </w:rPr>
      </w:r>
    </w:p>
    <w:p>
      <w:pPr>
        <w:pStyle w:val="Heading"/>
        <w:spacing w:lineRule="auto" w:line="480"/>
        <w:jc w:val="both"/>
        <w:rPr>
          <w:u w:val="none"/>
        </w:rPr>
      </w:pPr>
      <w:r>
        <w:rPr>
          <w:u w:val="none"/>
        </w:rPr>
        <w:t>Part II – Revisiting the Why of Open Markets</w:t>
      </w:r>
    </w:p>
    <w:p>
      <w:pPr>
        <w:pStyle w:val="Heading"/>
        <w:spacing w:lineRule="auto" w:line="480"/>
        <w:jc w:val="both"/>
        <w:rPr>
          <w:b w:val="false"/>
          <w:bCs w:val="false"/>
          <w:u w:val="none"/>
        </w:rPr>
      </w:pPr>
      <w:r>
        <w:rPr>
          <w:b w:val="false"/>
          <w:bCs w:val="false"/>
          <w:u w:val="none"/>
        </w:rPr>
      </w:r>
    </w:p>
    <w:p>
      <w:pPr>
        <w:pStyle w:val="Normal"/>
        <w:numPr>
          <w:ilvl w:val="0"/>
          <w:numId w:val="15"/>
        </w:numPr>
        <w:tabs>
          <w:tab w:val="clear" w:pos="720"/>
          <w:tab w:val="left" w:pos="360" w:leader="none"/>
        </w:tabs>
        <w:spacing w:lineRule="auto" w:line="480"/>
        <w:ind w:hanging="360" w:start="360" w:end="0"/>
        <w:jc w:val="both"/>
        <w:rPr>
          <w:rFonts w:ascii="Arial" w:hAnsi="Arial" w:cs="Arial"/>
        </w:rPr>
      </w:pPr>
      <w:r>
        <w:rPr>
          <w:rFonts w:cs="Arial" w:ascii="Arial" w:hAnsi="Arial"/>
        </w:rPr>
        <w:t>Enron is well aware that the crisis in California has, understandably, led policymakers and legislators to take a second look at deregulation and competition</w:t>
      </w:r>
    </w:p>
    <w:p>
      <w:pPr>
        <w:pStyle w:val="Normal"/>
        <w:spacing w:lineRule="auto" w:line="480"/>
        <w:ind w:start="1440" w:end="0"/>
        <w:jc w:val="both"/>
        <w:rPr>
          <w:rFonts w:ascii="Arial" w:hAnsi="Arial" w:cs="Arial"/>
        </w:rPr>
      </w:pPr>
      <w:r>
        <w:rPr>
          <w:rFonts w:cs="Arial" w:ascii="Arial" w:hAnsi="Arial"/>
        </w:rPr>
      </w:r>
    </w:p>
    <w:p>
      <w:pPr>
        <w:pStyle w:val="Normal"/>
        <w:numPr>
          <w:ilvl w:val="0"/>
          <w:numId w:val="15"/>
        </w:numPr>
        <w:tabs>
          <w:tab w:val="clear" w:pos="720"/>
          <w:tab w:val="left" w:pos="360" w:leader="none"/>
        </w:tabs>
        <w:spacing w:lineRule="auto" w:line="480"/>
        <w:ind w:hanging="360" w:start="360" w:end="0"/>
        <w:jc w:val="both"/>
        <w:rPr>
          <w:rFonts w:ascii="Arial" w:hAnsi="Arial" w:cs="Arial"/>
        </w:rPr>
      </w:pPr>
      <w:r>
        <w:rPr>
          <w:rFonts w:cs="Arial" w:ascii="Arial" w:hAnsi="Arial"/>
        </w:rPr>
        <w:t>That is as true in the United States as it is here</w:t>
      </w:r>
    </w:p>
    <w:p>
      <w:pPr>
        <w:pStyle w:val="Normal"/>
        <w:tabs>
          <w:tab w:val="clear" w:pos="720"/>
          <w:tab w:val="left" w:pos="360" w:leader="none"/>
        </w:tabs>
        <w:spacing w:lineRule="auto" w:line="480"/>
        <w:ind w:hanging="360" w:start="360" w:end="0"/>
        <w:jc w:val="both"/>
        <w:rPr>
          <w:rFonts w:ascii="Arial" w:hAnsi="Arial" w:cs="Arial"/>
        </w:rPr>
      </w:pPr>
      <w:r>
        <w:rPr>
          <w:rFonts w:cs="Arial" w:ascii="Arial" w:hAnsi="Arial"/>
        </w:rPr>
      </w:r>
    </w:p>
    <w:p>
      <w:pPr>
        <w:pStyle w:val="Normal"/>
        <w:numPr>
          <w:ilvl w:val="0"/>
          <w:numId w:val="15"/>
        </w:numPr>
        <w:tabs>
          <w:tab w:val="clear" w:pos="720"/>
          <w:tab w:val="left" w:pos="360" w:leader="none"/>
        </w:tabs>
        <w:spacing w:lineRule="auto" w:line="480"/>
        <w:ind w:hanging="360" w:start="360" w:end="0"/>
        <w:jc w:val="both"/>
        <w:rPr>
          <w:rFonts w:ascii="Arial" w:hAnsi="Arial" w:cs="Arial"/>
        </w:rPr>
      </w:pPr>
      <w:r>
        <w:rPr>
          <w:rFonts w:cs="Arial" w:ascii="Arial" w:hAnsi="Arial"/>
        </w:rPr>
        <w:t>In the face of the California crisis, it is all the more important for legislators and policymakers – and for the public generally – to remember why the establishment of a competitive market structure is so important for electricity consumers, including electricity consumers in Ontario</w:t>
      </w:r>
    </w:p>
    <w:p>
      <w:pPr>
        <w:pStyle w:val="Normal"/>
        <w:tabs>
          <w:tab w:val="clear" w:pos="720"/>
          <w:tab w:val="left" w:pos="360" w:leader="none"/>
        </w:tabs>
        <w:spacing w:lineRule="auto" w:line="480"/>
        <w:ind w:hanging="360" w:start="360" w:end="0"/>
        <w:jc w:val="both"/>
        <w:rPr>
          <w:rFonts w:ascii="Arial" w:hAnsi="Arial" w:cs="Arial"/>
        </w:rPr>
      </w:pPr>
      <w:r>
        <w:rPr>
          <w:rFonts w:cs="Arial" w:ascii="Arial" w:hAnsi="Arial"/>
        </w:rPr>
      </w:r>
    </w:p>
    <w:p>
      <w:pPr>
        <w:pStyle w:val="Normal"/>
        <w:numPr>
          <w:ilvl w:val="0"/>
          <w:numId w:val="15"/>
        </w:numPr>
        <w:tabs>
          <w:tab w:val="clear" w:pos="720"/>
          <w:tab w:val="left" w:pos="360" w:leader="none"/>
        </w:tabs>
        <w:spacing w:lineRule="auto" w:line="480"/>
        <w:ind w:hanging="360" w:start="360" w:end="0"/>
        <w:jc w:val="both"/>
        <w:rPr>
          <w:rFonts w:ascii="Arial" w:hAnsi="Arial" w:cs="Arial"/>
        </w:rPr>
      </w:pPr>
      <w:r>
        <w:rPr>
          <w:rFonts w:cs="Arial" w:ascii="Arial" w:hAnsi="Arial"/>
        </w:rPr>
        <w:t>Indeed, the position of Ontario provides a very good example of why it is so important to proceed with restructuring and the creation of a competitive power market</w:t>
      </w:r>
    </w:p>
    <w:p>
      <w:pPr>
        <w:pStyle w:val="Normal"/>
        <w:spacing w:lineRule="auto" w:line="480"/>
        <w:jc w:val="both"/>
        <w:rPr>
          <w:rFonts w:ascii="Arial" w:hAnsi="Arial" w:cs="Arial"/>
        </w:rPr>
      </w:pPr>
      <w:r>
        <w:rPr>
          <w:rFonts w:cs="Arial" w:ascii="Arial" w:hAnsi="Arial"/>
        </w:rPr>
      </w:r>
    </w:p>
    <w:p>
      <w:pPr>
        <w:pStyle w:val="Normal"/>
        <w:numPr>
          <w:ilvl w:val="0"/>
          <w:numId w:val="15"/>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First of all</w:t>
      </w:r>
      <w:r>
        <w:rPr>
          <w:rFonts w:cs="Arial" w:ascii="Arial" w:hAnsi="Arial"/>
        </w:rPr>
        <w:t xml:space="preserve">, unless a market like Ontario </w:t>
      </w:r>
      <w:r>
        <w:rPr>
          <w:rFonts w:cs="Arial" w:ascii="Arial" w:hAnsi="Arial"/>
          <w:u w:val="single"/>
        </w:rPr>
        <w:t>quickly</w:t>
      </w:r>
      <w:r>
        <w:rPr>
          <w:rFonts w:cs="Arial" w:ascii="Arial" w:hAnsi="Arial"/>
        </w:rPr>
        <w:t xml:space="preserve"> establishes a competitive market structure, Ontario will either have to live without the investment the Province needs or Ontarians will be forced back to reliance on centrally mandated solutions to secure that investment.</w:t>
      </w:r>
    </w:p>
    <w:p>
      <w:pPr>
        <w:pStyle w:val="Normal"/>
        <w:spacing w:lineRule="auto" w:line="480"/>
        <w:ind w:start="288" w:end="0"/>
        <w:jc w:val="both"/>
        <w:rPr>
          <w:rFonts w:ascii="Arial" w:hAnsi="Arial" w:cs="Arial"/>
        </w:rPr>
      </w:pPr>
      <w:r>
        <w:rPr>
          <w:rFonts w:cs="Arial" w:ascii="Arial" w:hAnsi="Arial"/>
        </w:rPr>
      </w:r>
    </w:p>
    <w:p>
      <w:pPr>
        <w:pStyle w:val="Normal"/>
        <w:numPr>
          <w:ilvl w:val="0"/>
          <w:numId w:val="17"/>
        </w:numPr>
        <w:tabs>
          <w:tab w:val="clear" w:pos="720"/>
        </w:tabs>
        <w:spacing w:lineRule="auto" w:line="480"/>
        <w:ind w:hanging="360" w:start="720" w:end="0"/>
        <w:jc w:val="both"/>
        <w:rPr>
          <w:rFonts w:ascii="Arial" w:hAnsi="Arial" w:cs="Arial"/>
        </w:rPr>
      </w:pPr>
      <w:r>
        <w:rPr>
          <w:rFonts w:cs="Arial" w:ascii="Arial" w:hAnsi="Arial"/>
        </w:rPr>
        <w:t>Continued or renewed reliance on such centrally mandated solutions cannot be the answer</w:t>
      </w:r>
    </w:p>
    <w:p>
      <w:pPr>
        <w:pStyle w:val="Normal"/>
        <w:spacing w:lineRule="auto" w:line="480"/>
        <w:ind w:start="648" w:end="0"/>
        <w:jc w:val="both"/>
        <w:rPr>
          <w:rFonts w:ascii="Arial" w:hAnsi="Arial" w:cs="Arial"/>
        </w:rPr>
      </w:pPr>
      <w:r>
        <w:rPr>
          <w:rFonts w:cs="Arial" w:ascii="Arial" w:hAnsi="Arial"/>
        </w:rPr>
      </w:r>
    </w:p>
    <w:p>
      <w:pPr>
        <w:pStyle w:val="Normal"/>
        <w:numPr>
          <w:ilvl w:val="0"/>
          <w:numId w:val="17"/>
        </w:numPr>
        <w:tabs>
          <w:tab w:val="clear" w:pos="720"/>
        </w:tabs>
        <w:spacing w:lineRule="auto" w:line="480"/>
        <w:ind w:hanging="360" w:start="720" w:end="0"/>
        <w:jc w:val="both"/>
        <w:rPr>
          <w:rFonts w:ascii="Arial" w:hAnsi="Arial" w:cs="Arial"/>
        </w:rPr>
      </w:pPr>
      <w:r>
        <w:rPr>
          <w:rFonts w:cs="Arial" w:ascii="Arial" w:hAnsi="Arial"/>
        </w:rPr>
        <w:t>Just remember the billions of dollars of stranded debt left to the citizens of Ontario by the reliance on such centrally mandated solutions in the past – the legacy of poor management, bad planning and enormous cost overruns.  (I can assure you that the story in the U.S. has been no different)</w:t>
      </w:r>
    </w:p>
    <w:p>
      <w:pPr>
        <w:pStyle w:val="Normal"/>
        <w:spacing w:lineRule="auto" w:line="480"/>
        <w:ind w:hanging="360" w:start="720" w:end="0"/>
        <w:jc w:val="both"/>
        <w:rPr>
          <w:rFonts w:ascii="Arial" w:hAnsi="Arial" w:cs="Arial"/>
        </w:rPr>
      </w:pPr>
      <w:r>
        <w:rPr>
          <w:rFonts w:cs="Arial" w:ascii="Arial" w:hAnsi="Arial"/>
        </w:rPr>
      </w:r>
    </w:p>
    <w:p>
      <w:pPr>
        <w:pStyle w:val="Normal"/>
        <w:numPr>
          <w:ilvl w:val="1"/>
          <w:numId w:val="17"/>
        </w:numPr>
        <w:spacing w:lineRule="auto" w:line="480"/>
        <w:jc w:val="both"/>
        <w:rPr>
          <w:rFonts w:ascii="Arial" w:hAnsi="Arial" w:cs="Arial"/>
        </w:rPr>
      </w:pPr>
      <w:r>
        <w:rPr>
          <w:rFonts w:cs="Arial" w:ascii="Arial" w:hAnsi="Arial"/>
        </w:rPr>
        <w:t>In excess of $20 billion Canadian, an enormous figure by any measure</w:t>
      </w:r>
    </w:p>
    <w:p>
      <w:pPr>
        <w:pStyle w:val="Normal"/>
        <w:spacing w:lineRule="auto" w:line="480"/>
        <w:ind w:start="1800" w:end="0"/>
        <w:jc w:val="both"/>
        <w:rPr>
          <w:rFonts w:ascii="Arial" w:hAnsi="Arial" w:cs="Arial"/>
        </w:rPr>
      </w:pPr>
      <w:r>
        <w:rPr>
          <w:rFonts w:cs="Arial" w:ascii="Arial" w:hAnsi="Arial"/>
        </w:rPr>
      </w:r>
    </w:p>
    <w:p>
      <w:pPr>
        <w:pStyle w:val="Normal"/>
        <w:numPr>
          <w:ilvl w:val="0"/>
          <w:numId w:val="19"/>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Secondly</w:t>
      </w:r>
      <w:r>
        <w:rPr>
          <w:rFonts w:cs="Arial" w:ascii="Arial" w:hAnsi="Arial"/>
        </w:rPr>
        <w:t>, in a restructured and competitive electricity market, the risk and cost of new investment in generation will be borne by investors and shareholders rather than by ratepayers.  Consumers will no longer be the captive guarantors of new investment.  In other words, if Enron or anyone else makes a poor investment decision, they will have no recourse to the pocket books of consumers and taxpayers as they do under regulation.</w:t>
      </w:r>
    </w:p>
    <w:p>
      <w:pPr>
        <w:pStyle w:val="Normal"/>
        <w:spacing w:lineRule="auto" w:line="480"/>
        <w:ind w:start="288" w:end="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This protects consumers from bearing the cost of bad decisions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But consumers also benefit in other ways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They benefit from the competitive pressure created as multiple firms – Enron, ATCO, TransAlta, Sithe and others – pursue good investments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Firms will try to find and develop the most cost-effective projects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The combined effect is to reduce prices overall</w:t>
      </w:r>
    </w:p>
    <w:p>
      <w:pPr>
        <w:pStyle w:val="Normal"/>
        <w:spacing w:lineRule="auto" w:line="480"/>
        <w:ind w:start="1800" w:end="0"/>
        <w:jc w:val="both"/>
        <w:rPr>
          <w:rFonts w:ascii="Arial" w:hAnsi="Arial" w:cs="Arial"/>
        </w:rPr>
      </w:pPr>
      <w:r>
        <w:rPr>
          <w:rFonts w:cs="Arial" w:ascii="Arial" w:hAnsi="Arial"/>
        </w:rPr>
      </w:r>
    </w:p>
    <w:p>
      <w:pPr>
        <w:pStyle w:val="Normal"/>
        <w:numPr>
          <w:ilvl w:val="0"/>
          <w:numId w:val="19"/>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Thirdly</w:t>
      </w:r>
      <w:r>
        <w:rPr>
          <w:rFonts w:cs="Arial" w:ascii="Arial" w:hAnsi="Arial"/>
        </w:rPr>
        <w:t>, competition gives customers choice and, by doing so, gives suppliers and retailers a strong incentive to improve customer service, lower prices and develop demand side (load management) solutions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 xml:space="preserve">Ontario power consumers have choice </w:t>
      </w:r>
      <w:r>
        <w:rPr>
          <w:rFonts w:cs="Arial" w:ascii="Arial" w:hAnsi="Arial"/>
          <w:u w:val="single"/>
        </w:rPr>
        <w:t>now</w:t>
      </w:r>
      <w:r>
        <w:rPr>
          <w:rFonts w:cs="Arial" w:ascii="Arial" w:hAnsi="Arial"/>
        </w:rPr>
        <w:t xml:space="preserve"> – even before the market opens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As I indicated earlier, Enron Canada has already entered into contracts with large industrial customers – to provide them wholesale settlement services and to lock in fixed prices now</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Other suppliers and retailers are doing the same – offering fixed prices not only to industrial customers, but to smaller industrial, commercial and residential customers as well</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Indeed, industry sources suggest that several hundred thousand Ontario power consumers have already signed contracts with retailers</w:t>
      </w:r>
    </w:p>
    <w:p>
      <w:pPr>
        <w:pStyle w:val="Normal"/>
        <w:spacing w:lineRule="auto" w:line="48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This augurs very well for the opening of the market</w:t>
      </w:r>
    </w:p>
    <w:p>
      <w:pPr>
        <w:pStyle w:val="Normal"/>
        <w:spacing w:lineRule="auto" w:line="480"/>
        <w:jc w:val="both"/>
        <w:rPr>
          <w:rFonts w:ascii="Arial" w:hAnsi="Arial" w:cs="Arial"/>
        </w:rPr>
      </w:pPr>
      <w:r>
        <w:rPr>
          <w:rFonts w:cs="Arial" w:ascii="Arial" w:hAnsi="Arial"/>
        </w:rPr>
      </w:r>
    </w:p>
    <w:p>
      <w:pPr>
        <w:pStyle w:val="Normal"/>
        <w:numPr>
          <w:ilvl w:val="0"/>
          <w:numId w:val="19"/>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Fourthly</w:t>
      </w:r>
      <w:r>
        <w:rPr>
          <w:rFonts w:cs="Arial" w:ascii="Arial" w:hAnsi="Arial"/>
        </w:rPr>
        <w:t xml:space="preserve">, an open market in Ontario will enhance security of supply by fostering investment in new generation within the Province and by giving Ontario consumers more reliable access to the growing generation capacity in the connected markets. </w:t>
      </w:r>
    </w:p>
    <w:p>
      <w:pPr>
        <w:pStyle w:val="Normal"/>
        <w:spacing w:lineRule="auto" w:line="480"/>
        <w:ind w:start="288" w:end="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 xml:space="preserve">Approximately </w:t>
      </w:r>
      <w:r>
        <w:rPr>
          <w:rFonts w:cs="Arial" w:ascii="Arial" w:hAnsi="Arial"/>
          <w:u w:val="single"/>
        </w:rPr>
        <w:t>[note to draft:  Garrett to provide]</w:t>
      </w:r>
      <w:r>
        <w:rPr>
          <w:rFonts w:cs="Arial" w:ascii="Arial" w:hAnsi="Arial"/>
        </w:rPr>
        <w:t xml:space="preserve"> is scheduled to be added in the connected markets over the next 2 years</w:t>
      </w:r>
    </w:p>
    <w:p>
      <w:pPr>
        <w:pStyle w:val="Normal"/>
        <w:spacing w:lineRule="auto" w:line="480"/>
        <w:ind w:start="288" w:end="0"/>
        <w:jc w:val="both"/>
        <w:rPr>
          <w:rFonts w:ascii="Arial" w:hAnsi="Arial" w:cs="Arial"/>
        </w:rPr>
      </w:pPr>
      <w:r>
        <w:rPr>
          <w:rFonts w:cs="Arial" w:ascii="Arial" w:hAnsi="Arial"/>
        </w:rPr>
      </w:r>
    </w:p>
    <w:p>
      <w:pPr>
        <w:pStyle w:val="Normal"/>
        <w:numPr>
          <w:ilvl w:val="0"/>
          <w:numId w:val="17"/>
        </w:numPr>
        <w:spacing w:lineRule="auto" w:line="480"/>
        <w:jc w:val="both"/>
        <w:rPr>
          <w:rFonts w:ascii="Arial" w:hAnsi="Arial" w:cs="Arial"/>
        </w:rPr>
      </w:pPr>
      <w:r>
        <w:rPr>
          <w:rFonts w:cs="Arial" w:ascii="Arial" w:hAnsi="Arial"/>
        </w:rPr>
        <w:t>I have already noted the value to Ontario and Ontario consumers of the access to the connected markets, particularly in the winter months</w:t>
      </w:r>
    </w:p>
    <w:p>
      <w:pPr>
        <w:pStyle w:val="Normal"/>
        <w:spacing w:lineRule="auto" w:line="480"/>
        <w:ind w:start="-72" w:end="0"/>
        <w:jc w:val="both"/>
        <w:rPr>
          <w:rFonts w:ascii="Arial" w:hAnsi="Arial" w:cs="Arial"/>
        </w:rPr>
      </w:pPr>
      <w:r>
        <w:rPr>
          <w:rFonts w:cs="Arial" w:ascii="Arial" w:hAnsi="Arial"/>
        </w:rPr>
      </w:r>
    </w:p>
    <w:p>
      <w:pPr>
        <w:pStyle w:val="Normal"/>
        <w:numPr>
          <w:ilvl w:val="0"/>
          <w:numId w:val="19"/>
        </w:numPr>
        <w:tabs>
          <w:tab w:val="clear" w:pos="720"/>
          <w:tab w:val="left" w:pos="360" w:leader="none"/>
        </w:tabs>
        <w:spacing w:lineRule="auto" w:line="480"/>
        <w:ind w:hanging="360" w:start="360" w:end="0"/>
        <w:jc w:val="both"/>
        <w:rPr>
          <w:rFonts w:ascii="Arial" w:hAnsi="Arial" w:cs="Arial"/>
        </w:rPr>
      </w:pPr>
      <w:r>
        <w:rPr>
          <w:rFonts w:cs="Arial" w:ascii="Arial" w:hAnsi="Arial"/>
        </w:rPr>
        <w:t>So these are four good reasons to proceed:</w:t>
      </w:r>
    </w:p>
    <w:p>
      <w:pPr>
        <w:pStyle w:val="Normal"/>
        <w:spacing w:lineRule="auto" w:line="480"/>
        <w:jc w:val="both"/>
        <w:rPr>
          <w:rFonts w:ascii="Arial" w:hAnsi="Arial" w:cs="Arial"/>
        </w:rPr>
      </w:pPr>
      <w:r>
        <w:rPr>
          <w:rFonts w:cs="Arial" w:ascii="Arial" w:hAnsi="Arial"/>
        </w:rPr>
      </w:r>
    </w:p>
    <w:p>
      <w:pPr>
        <w:pStyle w:val="Normal"/>
        <w:numPr>
          <w:ilvl w:val="0"/>
          <w:numId w:val="2"/>
        </w:numPr>
        <w:spacing w:lineRule="auto" w:line="480"/>
        <w:jc w:val="both"/>
        <w:rPr>
          <w:rFonts w:ascii="Arial" w:hAnsi="Arial" w:cs="Arial"/>
        </w:rPr>
      </w:pPr>
      <w:r>
        <w:rPr>
          <w:rFonts w:cs="Arial" w:ascii="Arial" w:hAnsi="Arial"/>
        </w:rPr>
        <w:t>End reliance on those certainly mandated solutions that have left Ontario – and Ontario consumers – with the costly legacy of poor management, bad planning and cost over runs</w:t>
      </w:r>
    </w:p>
    <w:p>
      <w:pPr>
        <w:pStyle w:val="Normal"/>
        <w:spacing w:lineRule="auto" w:line="480"/>
        <w:jc w:val="both"/>
        <w:rPr>
          <w:rFonts w:ascii="Arial" w:hAnsi="Arial" w:cs="Arial"/>
        </w:rPr>
      </w:pPr>
      <w:r>
        <w:rPr>
          <w:rFonts w:cs="Arial" w:ascii="Arial" w:hAnsi="Arial"/>
        </w:rPr>
      </w:r>
    </w:p>
    <w:p>
      <w:pPr>
        <w:pStyle w:val="Normal"/>
        <w:spacing w:lineRule="auto" w:line="480"/>
        <w:ind w:hanging="360" w:start="720" w:end="0"/>
        <w:jc w:val="both"/>
        <w:rPr>
          <w:rFonts w:ascii="Arial" w:hAnsi="Arial" w:cs="Arial"/>
        </w:rPr>
      </w:pPr>
      <w:r>
        <w:rPr>
          <w:rFonts w:cs="Arial" w:ascii="Arial" w:hAnsi="Arial"/>
        </w:rPr>
        <w:t>2)</w:t>
        <w:tab/>
        <w:t>Shift the risk of new investment to investors and shareholders and away from captive ratepayers and taxpayers</w:t>
      </w:r>
    </w:p>
    <w:p>
      <w:pPr>
        <w:pStyle w:val="Normal"/>
        <w:spacing w:lineRule="auto" w:line="480"/>
        <w:ind w:hanging="360" w:start="720" w:end="0"/>
        <w:jc w:val="both"/>
        <w:rPr>
          <w:rFonts w:ascii="Arial" w:hAnsi="Arial" w:cs="Arial"/>
        </w:rPr>
      </w:pPr>
      <w:r>
        <w:rPr>
          <w:rFonts w:cs="Arial" w:ascii="Arial" w:hAnsi="Arial"/>
        </w:rPr>
      </w:r>
    </w:p>
    <w:p>
      <w:pPr>
        <w:pStyle w:val="Normal"/>
        <w:numPr>
          <w:ilvl w:val="0"/>
          <w:numId w:val="10"/>
        </w:numPr>
        <w:tabs>
          <w:tab w:val="left" w:pos="720" w:leader="none"/>
        </w:tabs>
        <w:spacing w:lineRule="auto" w:line="480"/>
        <w:ind w:hanging="360" w:start="720" w:end="0"/>
        <w:jc w:val="both"/>
        <w:rPr>
          <w:rFonts w:ascii="Arial" w:hAnsi="Arial" w:cs="Arial"/>
        </w:rPr>
      </w:pPr>
      <w:r>
        <w:rPr>
          <w:rFonts w:cs="Arial" w:ascii="Arial" w:hAnsi="Arial"/>
        </w:rPr>
        <w:t>Provide choice – and thereby provide incentives for better prices and better service</w:t>
      </w:r>
    </w:p>
    <w:p>
      <w:pPr>
        <w:pStyle w:val="Normal"/>
        <w:spacing w:lineRule="auto" w:line="480"/>
        <w:ind w:start="360" w:end="0"/>
        <w:jc w:val="both"/>
        <w:rPr>
          <w:rFonts w:ascii="Arial" w:hAnsi="Arial" w:cs="Arial"/>
        </w:rPr>
      </w:pPr>
      <w:r>
        <w:rPr>
          <w:rFonts w:cs="Arial" w:ascii="Arial" w:hAnsi="Arial"/>
        </w:rPr>
      </w:r>
    </w:p>
    <w:p>
      <w:pPr>
        <w:pStyle w:val="Normal"/>
        <w:numPr>
          <w:ilvl w:val="0"/>
          <w:numId w:val="10"/>
        </w:numPr>
        <w:tabs>
          <w:tab w:val="left" w:pos="720" w:leader="none"/>
        </w:tabs>
        <w:spacing w:lineRule="auto" w:line="480"/>
        <w:ind w:hanging="360" w:start="720" w:end="0"/>
        <w:jc w:val="both"/>
        <w:rPr>
          <w:rFonts w:ascii="Arial" w:hAnsi="Arial" w:cs="Arial"/>
        </w:rPr>
      </w:pPr>
      <w:r>
        <w:rPr>
          <w:rFonts w:cs="Arial" w:ascii="Arial" w:hAnsi="Arial"/>
        </w:rPr>
        <w:t>Enhance reliability – by fostering investment and securing access to the neighbouring markets</w:t>
      </w:r>
    </w:p>
    <w:p>
      <w:pPr>
        <w:pStyle w:val="Normal"/>
        <w:spacing w:lineRule="auto" w:line="480"/>
        <w:jc w:val="both"/>
        <w:rPr>
          <w:rFonts w:ascii="Arial" w:hAnsi="Arial" w:cs="Arial"/>
        </w:rPr>
      </w:pPr>
      <w:r>
        <w:rPr>
          <w:rFonts w:cs="Arial" w:ascii="Arial" w:hAnsi="Arial"/>
        </w:rPr>
      </w:r>
    </w:p>
    <w:p>
      <w:pPr>
        <w:pStyle w:val="Normal"/>
        <w:numPr>
          <w:ilvl w:val="0"/>
          <w:numId w:val="16"/>
        </w:numPr>
        <w:spacing w:lineRule="auto" w:line="480"/>
        <w:jc w:val="both"/>
        <w:rPr>
          <w:rFonts w:ascii="Arial" w:hAnsi="Arial" w:cs="Arial"/>
        </w:rPr>
      </w:pPr>
      <w:r>
        <w:rPr>
          <w:rFonts w:cs="Arial" w:ascii="Arial" w:hAnsi="Arial"/>
        </w:rPr>
        <w:t>In order to secure these benefits, it is important for Ontario to proceed to open the market as soon as possible</w:t>
      </w:r>
    </w:p>
    <w:p>
      <w:pPr>
        <w:pStyle w:val="Normal"/>
        <w:spacing w:lineRule="auto" w:line="480"/>
        <w:jc w:val="both"/>
        <w:rPr>
          <w:rFonts w:ascii="Arial" w:hAnsi="Arial" w:cs="Arial"/>
        </w:rPr>
      </w:pPr>
      <w:r>
        <w:rPr>
          <w:rFonts w:cs="Arial" w:ascii="Arial" w:hAnsi="Arial"/>
        </w:rPr>
      </w:r>
    </w:p>
    <w:p>
      <w:pPr>
        <w:pStyle w:val="Normal"/>
        <w:numPr>
          <w:ilvl w:val="0"/>
          <w:numId w:val="16"/>
        </w:numPr>
        <w:spacing w:lineRule="auto" w:line="480"/>
        <w:jc w:val="both"/>
        <w:rPr>
          <w:rFonts w:ascii="Arial" w:hAnsi="Arial" w:cs="Arial"/>
        </w:rPr>
      </w:pPr>
      <w:r>
        <w:rPr>
          <w:rFonts w:cs="Arial" w:ascii="Arial" w:hAnsi="Arial"/>
        </w:rPr>
        <w:t>At Enron, we think that can and should be done this Fall</w:t>
      </w:r>
    </w:p>
    <w:p>
      <w:pPr>
        <w:pStyle w:val="Normal"/>
        <w:spacing w:lineRule="auto" w:line="480"/>
        <w:ind w:start="360" w:end="0"/>
        <w:jc w:val="both"/>
        <w:rPr>
          <w:rFonts w:ascii="Arial" w:hAnsi="Arial" w:cs="Arial"/>
        </w:rPr>
      </w:pPr>
      <w:r>
        <w:rPr>
          <w:rFonts w:cs="Arial" w:ascii="Arial" w:hAnsi="Arial"/>
        </w:rPr>
      </w:r>
    </w:p>
    <w:p>
      <w:pPr>
        <w:pStyle w:val="Normal"/>
        <w:numPr>
          <w:ilvl w:val="0"/>
          <w:numId w:val="18"/>
        </w:numPr>
        <w:tabs>
          <w:tab w:val="clear" w:pos="720"/>
          <w:tab w:val="left" w:pos="360" w:leader="none"/>
        </w:tabs>
        <w:spacing w:lineRule="auto" w:line="480"/>
        <w:ind w:hanging="432" w:start="360" w:end="0"/>
        <w:jc w:val="both"/>
        <w:rPr>
          <w:rFonts w:ascii="Arial" w:hAnsi="Arial" w:cs="Arial"/>
        </w:rPr>
      </w:pPr>
      <w:r>
        <w:rPr>
          <w:rFonts w:cs="Arial" w:ascii="Arial" w:hAnsi="Arial"/>
        </w:rPr>
        <w:t>Continued delay and uncertainty regarding market opening will yield the very consequences that Ontario policy makers want to avoid – no new investment, a deteriorating demand / supply balance, no choice, and prices that are higher than they would otherwise be.</w:t>
      </w:r>
    </w:p>
    <w:p>
      <w:pPr>
        <w:pStyle w:val="Normal"/>
        <w:spacing w:lineRule="auto" w:line="480"/>
        <w:ind w:start="-72" w:end="0"/>
        <w:jc w:val="both"/>
        <w:rPr>
          <w:rFonts w:ascii="Arial" w:hAnsi="Arial" w:cs="Arial"/>
        </w:rPr>
      </w:pPr>
      <w:r>
        <w:rPr>
          <w:rFonts w:cs="Arial" w:ascii="Arial" w:hAnsi="Arial"/>
        </w:rPr>
      </w:r>
    </w:p>
    <w:p>
      <w:pPr>
        <w:pStyle w:val="Heading1"/>
        <w:ind w:hanging="0" w:start="0"/>
        <w:rPr/>
      </w:pPr>
      <w:r>
        <w:rPr/>
        <w:t>Part III – A Few Comments on Price</w:t>
      </w:r>
    </w:p>
    <w:p>
      <w:pPr>
        <w:pStyle w:val="Normal"/>
        <w:rPr/>
      </w:pPr>
      <w:r>
        <w:rPr/>
      </w:r>
    </w:p>
    <w:p>
      <w:pPr>
        <w:pStyle w:val="Normal"/>
        <w:numPr>
          <w:ilvl w:val="0"/>
          <w:numId w:val="18"/>
        </w:numPr>
        <w:tabs>
          <w:tab w:val="clear" w:pos="720"/>
          <w:tab w:val="left" w:pos="360" w:leader="none"/>
        </w:tabs>
        <w:spacing w:lineRule="auto" w:line="480"/>
        <w:ind w:hanging="432" w:start="360" w:end="0"/>
        <w:jc w:val="both"/>
        <w:rPr>
          <w:rFonts w:ascii="Arial" w:hAnsi="Arial" w:cs="Arial"/>
        </w:rPr>
      </w:pPr>
      <w:r>
        <w:rPr>
          <w:rFonts w:cs="Arial" w:ascii="Arial" w:hAnsi="Arial"/>
        </w:rPr>
        <w:t>I would like to say a few words about price</w:t>
      </w:r>
    </w:p>
    <w:p>
      <w:pPr>
        <w:pStyle w:val="Normal"/>
        <w:spacing w:lineRule="auto" w:line="480"/>
        <w:jc w:val="both"/>
        <w:rPr>
          <w:rFonts w:ascii="Arial" w:hAnsi="Arial" w:cs="Arial"/>
        </w:rPr>
      </w:pPr>
      <w:r>
        <w:rPr>
          <w:rFonts w:cs="Arial" w:ascii="Arial" w:hAnsi="Arial"/>
        </w:rPr>
      </w:r>
    </w:p>
    <w:p>
      <w:pPr>
        <w:pStyle w:val="Normal"/>
        <w:numPr>
          <w:ilvl w:val="0"/>
          <w:numId w:val="18"/>
        </w:numPr>
        <w:tabs>
          <w:tab w:val="clear" w:pos="720"/>
          <w:tab w:val="left" w:pos="360" w:leader="none"/>
        </w:tabs>
        <w:spacing w:lineRule="auto" w:line="480"/>
        <w:ind w:hanging="432" w:start="360" w:end="0"/>
        <w:jc w:val="both"/>
        <w:rPr>
          <w:rFonts w:ascii="Arial" w:hAnsi="Arial" w:cs="Arial"/>
        </w:rPr>
      </w:pPr>
      <w:r>
        <w:rPr>
          <w:rFonts w:cs="Arial" w:ascii="Arial" w:hAnsi="Arial"/>
        </w:rPr>
        <w:t>I am told that electricity prices in Ontario have been frozen since 1993</w:t>
      </w:r>
    </w:p>
    <w:p>
      <w:pPr>
        <w:pStyle w:val="Normal"/>
        <w:spacing w:lineRule="auto" w:line="480"/>
        <w:jc w:val="both"/>
        <w:rPr>
          <w:rFonts w:ascii="Arial" w:hAnsi="Arial" w:cs="Arial"/>
        </w:rPr>
      </w:pPr>
      <w:r>
        <w:rPr>
          <w:rFonts w:cs="Arial" w:ascii="Arial" w:hAnsi="Arial"/>
        </w:rPr>
      </w:r>
    </w:p>
    <w:p>
      <w:pPr>
        <w:pStyle w:val="Normal"/>
        <w:numPr>
          <w:ilvl w:val="0"/>
          <w:numId w:val="14"/>
        </w:numPr>
        <w:tabs>
          <w:tab w:val="clear" w:pos="720"/>
        </w:tabs>
        <w:spacing w:lineRule="auto" w:line="480"/>
        <w:ind w:hanging="720" w:start="2160" w:end="0"/>
        <w:jc w:val="both"/>
        <w:rPr>
          <w:rFonts w:ascii="Arial" w:hAnsi="Arial" w:cs="Arial"/>
        </w:rPr>
      </w:pPr>
      <w:r>
        <w:rPr>
          <w:rFonts w:cs="Arial" w:ascii="Arial" w:hAnsi="Arial"/>
        </w:rPr>
        <w:t>For over seven years, power prices have been kept artificially low</w:t>
      </w:r>
    </w:p>
    <w:p>
      <w:pPr>
        <w:pStyle w:val="Normal"/>
        <w:spacing w:lineRule="auto" w:line="480"/>
        <w:ind w:start="-72" w:end="0"/>
        <w:jc w:val="both"/>
        <w:rPr>
          <w:rFonts w:ascii="Arial" w:hAnsi="Arial" w:cs="Arial"/>
        </w:rPr>
      </w:pPr>
      <w:r>
        <w:rPr>
          <w:rFonts w:cs="Arial" w:ascii="Arial" w:hAnsi="Arial"/>
        </w:rPr>
      </w:r>
    </w:p>
    <w:p>
      <w:pPr>
        <w:pStyle w:val="Heading"/>
        <w:numPr>
          <w:ilvl w:val="1"/>
          <w:numId w:val="14"/>
        </w:numPr>
        <w:tabs>
          <w:tab w:val="clear" w:pos="720"/>
        </w:tabs>
        <w:spacing w:lineRule="auto" w:line="480"/>
        <w:ind w:hanging="360" w:start="360" w:end="0"/>
        <w:jc w:val="both"/>
        <w:rPr>
          <w:b w:val="false"/>
          <w:bCs w:val="false"/>
          <w:u w:val="none"/>
        </w:rPr>
      </w:pPr>
      <w:r>
        <w:rPr>
          <w:b w:val="false"/>
          <w:bCs w:val="false"/>
          <w:u w:val="none"/>
        </w:rPr>
        <w:t>At Enron, we cannot think of any other jurisdiction in North America where a price freeze has been in place for that period of time</w:t>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numPr>
          <w:ilvl w:val="1"/>
          <w:numId w:val="14"/>
        </w:numPr>
        <w:tabs>
          <w:tab w:val="clear" w:pos="720"/>
        </w:tabs>
        <w:spacing w:lineRule="auto" w:line="480"/>
        <w:ind w:hanging="360" w:start="360" w:end="0"/>
        <w:jc w:val="both"/>
        <w:rPr>
          <w:b w:val="false"/>
          <w:bCs w:val="false"/>
          <w:u w:val="none"/>
        </w:rPr>
      </w:pPr>
      <w:r>
        <w:rPr>
          <w:b w:val="false"/>
          <w:bCs w:val="false"/>
          <w:u w:val="none"/>
        </w:rPr>
        <w:t>Just think, over the past seven years,</w:t>
      </w:r>
    </w:p>
    <w:p>
      <w:pPr>
        <w:pStyle w:val="Heading"/>
        <w:spacing w:lineRule="auto" w:line="480"/>
        <w:ind w:start="720" w:end="0"/>
        <w:jc w:val="both"/>
        <w:rPr/>
      </w:pPr>
      <w:r>
        <w:rPr>
          <w:b w:val="false"/>
          <w:bCs w:val="false"/>
          <w:u w:val="none"/>
        </w:rPr>
        <w:t xml:space="preserve">Coal prices have gone up </w:t>
      </w:r>
      <w:r>
        <w:rPr>
          <w:b w:val="false"/>
          <w:bCs w:val="false"/>
        </w:rPr>
        <w:tab/>
        <w:tab/>
      </w:r>
      <w:r>
        <w:rPr>
          <w:b w:val="false"/>
          <w:bCs w:val="false"/>
          <w:u w:val="none"/>
        </w:rPr>
        <w:t xml:space="preserve"> %</w:t>
      </w:r>
    </w:p>
    <w:p>
      <w:pPr>
        <w:pStyle w:val="Heading"/>
        <w:spacing w:lineRule="auto" w:line="480"/>
        <w:ind w:start="720" w:end="0"/>
        <w:jc w:val="both"/>
        <w:rPr/>
      </w:pPr>
      <w:r>
        <w:rPr>
          <w:b w:val="false"/>
          <w:bCs w:val="false"/>
          <w:u w:val="none"/>
        </w:rPr>
        <w:t xml:space="preserve">Oil prices have gone up </w:t>
      </w:r>
      <w:r>
        <w:rPr>
          <w:b w:val="false"/>
          <w:bCs w:val="false"/>
        </w:rPr>
        <w:tab/>
        <w:tab/>
      </w:r>
      <w:r>
        <w:rPr>
          <w:b w:val="false"/>
          <w:bCs w:val="false"/>
          <w:u w:val="none"/>
        </w:rPr>
        <w:t xml:space="preserve"> %</w:t>
      </w:r>
    </w:p>
    <w:p>
      <w:pPr>
        <w:pStyle w:val="Heading"/>
        <w:spacing w:lineRule="auto" w:line="480"/>
        <w:ind w:start="720" w:end="0"/>
        <w:jc w:val="both"/>
        <w:rPr/>
      </w:pPr>
      <w:r>
        <w:rPr>
          <w:b w:val="false"/>
          <w:bCs w:val="false"/>
          <w:u w:val="none"/>
        </w:rPr>
        <w:t xml:space="preserve">Natural gas prices have gone up </w:t>
      </w:r>
      <w:r>
        <w:rPr>
          <w:b w:val="false"/>
          <w:bCs w:val="false"/>
        </w:rPr>
        <w:tab/>
        <w:tab/>
      </w:r>
      <w:r>
        <w:rPr>
          <w:b w:val="false"/>
          <w:bCs w:val="false"/>
          <w:u w:val="none"/>
        </w:rPr>
        <w:t xml:space="preserve"> %</w:t>
      </w:r>
    </w:p>
    <w:p>
      <w:pPr>
        <w:pStyle w:val="Heading"/>
        <w:spacing w:lineRule="auto" w:line="480"/>
        <w:jc w:val="both"/>
        <w:rPr>
          <w:b w:val="false"/>
          <w:bCs w:val="false"/>
          <w:u w:val="none"/>
        </w:rPr>
      </w:pPr>
      <w:r>
        <w:rPr>
          <w:b w:val="false"/>
          <w:bCs w:val="false"/>
          <w:u w:val="none"/>
        </w:rPr>
        <w:tab/>
        <w:t>[note to draft:  Garrett to provide]</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I strongly suspect that the price freeze is unsustainable, even in a regulated environment</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Minister Wilson was quite correct when he remarked recently that “Energy prices – including electricity prices – are under upward pressure globally” and that Ontario cannot isolate itself from that trend</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The frozen prices – the artificially low frozen prices – that Ontarians are currently paying are not the appropriate bench mark for gauging whether the introduction of competition will bring benefits – by way of lower prices – to consumers</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 xml:space="preserve">The proper question is whether the additional resources that the Ontario power sector will need can be provided at lower cost – and at a lower price to consumers – through the old regulated/centrally-mandated regime </w:t>
      </w:r>
      <w:r>
        <w:rPr>
          <w:u w:val="none"/>
        </w:rPr>
        <w:t>or</w:t>
      </w:r>
      <w:r>
        <w:rPr>
          <w:b w:val="false"/>
          <w:bCs w:val="false"/>
          <w:u w:val="none"/>
        </w:rPr>
        <w:t xml:space="preserve"> through the operation of a competitive power market</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From our perspective, the answer to that question is clear:  the price to consumers of securing the resources they need will be lower in a competitive market than under a regulated structure.</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Look at the experience in Pennsylvania (PJM), England and the Australian markets</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Look also at the analytical work recently undertaken by Frontier Economics, a highly regarded consulting firm, regarding the Alberta market</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We have all read about the increase in power prices in Alberta  - the product of a deteriorating demand/supply balance and of high gas prices</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Frontier concluded that the urgent need for new capacity investment in Alberta made a substantial increase in energy prices inevitable – even under regulation</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 xml:space="preserve">More importantly, Frontier also concluded that the rates necessary to sustain that investment under regulation would </w:t>
      </w:r>
      <w:r>
        <w:rPr>
          <w:u w:val="none"/>
        </w:rPr>
        <w:t>exceed</w:t>
      </w:r>
      <w:r>
        <w:rPr>
          <w:b w:val="false"/>
          <w:bCs w:val="false"/>
          <w:u w:val="none"/>
        </w:rPr>
        <w:t xml:space="preserve"> the average long-term wholesale prices one could see in a competitive market</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I am confident that the same applies here in Ontario – under continued regulation, the rates needed to sustain the investment that Ontario will need would exceed the average long-term prices one would expect in a competitive wholesale market</w:t>
      </w:r>
    </w:p>
    <w:p>
      <w:pPr>
        <w:pStyle w:val="Heading"/>
        <w:spacing w:lineRule="auto" w:line="480"/>
        <w:jc w:val="both"/>
        <w:rPr>
          <w:b w:val="false"/>
          <w:bCs w:val="false"/>
          <w:u w:val="none"/>
        </w:rPr>
      </w:pPr>
      <w:r>
        <w:rPr>
          <w:b w:val="false"/>
          <w:bCs w:val="false"/>
          <w:u w:val="none"/>
        </w:rPr>
      </w:r>
    </w:p>
    <w:p>
      <w:pPr>
        <w:pStyle w:val="Heading"/>
        <w:numPr>
          <w:ilvl w:val="0"/>
          <w:numId w:val="23"/>
        </w:numPr>
        <w:tabs>
          <w:tab w:val="clear" w:pos="720"/>
        </w:tabs>
        <w:spacing w:lineRule="auto" w:line="480"/>
        <w:ind w:hanging="360" w:start="360" w:end="0"/>
        <w:jc w:val="both"/>
        <w:rPr>
          <w:b w:val="false"/>
          <w:bCs w:val="false"/>
          <w:u w:val="none"/>
        </w:rPr>
      </w:pPr>
      <w:r>
        <w:rPr>
          <w:b w:val="false"/>
          <w:bCs w:val="false"/>
          <w:u w:val="none"/>
        </w:rPr>
        <w:t xml:space="preserve">In other words, wholesale power prices under competition are </w:t>
      </w:r>
      <w:r>
        <w:rPr>
          <w:u w:val="none"/>
        </w:rPr>
        <w:t>lower</w:t>
      </w:r>
      <w:r>
        <w:rPr>
          <w:b w:val="false"/>
          <w:bCs w:val="false"/>
          <w:u w:val="none"/>
        </w:rPr>
        <w:t xml:space="preserve"> than rates would have to be under continued regulation</w:t>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spacing w:lineRule="auto" w:line="480"/>
        <w:jc w:val="both"/>
        <w:rPr>
          <w:b w:val="false"/>
          <w:bCs w:val="false"/>
          <w:u w:val="none"/>
        </w:rPr>
      </w:pPr>
      <w:r>
        <w:rPr>
          <w:b w:val="false"/>
          <w:bCs w:val="false"/>
          <w:u w:val="none"/>
        </w:rPr>
      </w:r>
    </w:p>
    <w:p>
      <w:pPr>
        <w:pStyle w:val="Heading"/>
        <w:spacing w:lineRule="auto" w:line="480"/>
        <w:jc w:val="both"/>
        <w:rPr>
          <w:u w:val="none"/>
        </w:rPr>
      </w:pPr>
      <w:r>
        <w:rPr>
          <w:u w:val="none"/>
        </w:rPr>
        <w:t>Part IV: Moving Forward to Market Opening in 2001</w:t>
      </w:r>
    </w:p>
    <w:p>
      <w:pPr>
        <w:pStyle w:val="Normal"/>
        <w:spacing w:lineRule="auto" w:line="480"/>
        <w:jc w:val="both"/>
        <w:rPr>
          <w:rFonts w:ascii="Arial" w:hAnsi="Arial" w:cs="Arial"/>
          <w:u w:val="none"/>
        </w:rPr>
      </w:pPr>
      <w:r>
        <w:rPr>
          <w:rFonts w:cs="Arial" w:ascii="Arial" w:hAnsi="Arial"/>
          <w:u w:val="none"/>
        </w:rPr>
      </w:r>
    </w:p>
    <w:p>
      <w:pPr>
        <w:pStyle w:val="Normal"/>
        <w:numPr>
          <w:ilvl w:val="0"/>
          <w:numId w:val="13"/>
        </w:numPr>
        <w:spacing w:lineRule="auto" w:line="480"/>
        <w:jc w:val="both"/>
        <w:rPr>
          <w:rFonts w:ascii="Arial" w:hAnsi="Arial" w:cs="Arial"/>
        </w:rPr>
      </w:pPr>
      <w:r>
        <w:rPr>
          <w:rFonts w:cs="Arial" w:ascii="Arial" w:hAnsi="Arial"/>
        </w:rPr>
        <w:t>I would like to address further the issue of market opening date</w:t>
      </w:r>
    </w:p>
    <w:p>
      <w:pPr>
        <w:pStyle w:val="Normal"/>
        <w:spacing w:lineRule="auto" w:line="480"/>
        <w:jc w:val="both"/>
        <w:rPr>
          <w:rFonts w:ascii="Arial" w:hAnsi="Arial" w:cs="Arial"/>
        </w:rPr>
      </w:pPr>
      <w:r>
        <w:rPr>
          <w:rFonts w:cs="Arial" w:ascii="Arial" w:hAnsi="Arial"/>
        </w:rPr>
      </w:r>
    </w:p>
    <w:p>
      <w:pPr>
        <w:pStyle w:val="Normal"/>
        <w:numPr>
          <w:ilvl w:val="0"/>
          <w:numId w:val="13"/>
        </w:numPr>
        <w:spacing w:lineRule="auto" w:line="480"/>
        <w:jc w:val="both"/>
        <w:rPr>
          <w:rFonts w:ascii="Arial" w:hAnsi="Arial" w:cs="Arial"/>
        </w:rPr>
      </w:pPr>
      <w:r>
        <w:rPr>
          <w:rFonts w:cs="Arial" w:ascii="Arial" w:hAnsi="Arial"/>
        </w:rPr>
        <w:t>Enron is confident that the key Ontario market institutions and participants will be ready for an opening of the wholesale and retail markets in the Fall of 2001:</w:t>
      </w:r>
    </w:p>
    <w:p>
      <w:pPr>
        <w:pStyle w:val="Normal"/>
        <w:spacing w:lineRule="auto" w:line="480"/>
        <w:jc w:val="both"/>
        <w:rPr>
          <w:rFonts w:ascii="Arial" w:hAnsi="Arial" w:cs="Arial"/>
        </w:rPr>
      </w:pPr>
      <w:r>
        <w:rPr>
          <w:rFonts w:cs="Arial" w:ascii="Arial" w:hAnsi="Arial"/>
        </w:rPr>
      </w:r>
    </w:p>
    <w:p>
      <w:pPr>
        <w:pStyle w:val="BodyTextIndent"/>
        <w:numPr>
          <w:ilvl w:val="0"/>
          <w:numId w:val="20"/>
        </w:numPr>
        <w:spacing w:lineRule="auto" w:line="480"/>
        <w:rPr/>
      </w:pPr>
      <w:r>
        <w:rPr/>
        <w:t xml:space="preserve">The Electricity Market Readiness Plan adopted by the OEB and IMO targets the systems, processes and other requirements of the wholesale and retail markets to be ready for a market opening in October/November 2001 </w:t>
      </w:r>
    </w:p>
    <w:p>
      <w:pPr>
        <w:pStyle w:val="Normal"/>
        <w:spacing w:lineRule="auto" w:line="480"/>
        <w:ind w:start="1800" w:end="0"/>
        <w:jc w:val="both"/>
        <w:rPr>
          <w:rFonts w:ascii="Arial" w:hAnsi="Arial" w:cs="Arial"/>
        </w:rPr>
      </w:pPr>
      <w:r>
        <w:rPr>
          <w:rFonts w:cs="Arial" w:ascii="Arial" w:hAnsi="Arial"/>
        </w:rPr>
      </w:r>
    </w:p>
    <w:p>
      <w:pPr>
        <w:pStyle w:val="Normal"/>
        <w:numPr>
          <w:ilvl w:val="0"/>
          <w:numId w:val="20"/>
        </w:numPr>
        <w:spacing w:lineRule="auto" w:line="480"/>
        <w:jc w:val="both"/>
        <w:rPr>
          <w:rFonts w:ascii="Arial" w:hAnsi="Arial" w:cs="Arial"/>
        </w:rPr>
      </w:pPr>
      <w:r>
        <w:rPr>
          <w:rFonts w:cs="Arial" w:ascii="Arial" w:hAnsi="Arial"/>
        </w:rPr>
        <w:t xml:space="preserve">The Electricity Market Readiness Plan was developed by the two senior regulatory bodies in the Province after extensive consultation with a broad range of market participants, including distributors, retailers and consumer representatives </w:t>
      </w:r>
    </w:p>
    <w:p>
      <w:pPr>
        <w:pStyle w:val="Normal"/>
        <w:spacing w:lineRule="auto" w:line="480"/>
        <w:jc w:val="both"/>
        <w:rPr>
          <w:rFonts w:ascii="Arial" w:hAnsi="Arial" w:cs="Arial"/>
        </w:rPr>
      </w:pPr>
      <w:r>
        <w:rPr>
          <w:rFonts w:cs="Arial" w:ascii="Arial" w:hAnsi="Arial"/>
        </w:rPr>
      </w:r>
    </w:p>
    <w:p>
      <w:pPr>
        <w:pStyle w:val="Normal"/>
        <w:numPr>
          <w:ilvl w:val="0"/>
          <w:numId w:val="20"/>
        </w:numPr>
        <w:spacing w:lineRule="auto" w:line="480"/>
        <w:jc w:val="both"/>
        <w:rPr>
          <w:rFonts w:ascii="Arial" w:hAnsi="Arial" w:cs="Arial"/>
        </w:rPr>
      </w:pPr>
      <w:r>
        <w:rPr>
          <w:rFonts w:cs="Arial" w:ascii="Arial" w:hAnsi="Arial"/>
        </w:rPr>
        <w:t xml:space="preserve">The Plan represents a realistic and achievable, indeed cautious, approach to market opening </w:t>
        <w:tab/>
        <w:tab/>
        <w:tab/>
        <w:tab/>
        <w:tab/>
        <w:tab/>
        <w:tab/>
        <w:tab/>
        <w:tab/>
        <w:tab/>
      </w:r>
    </w:p>
    <w:p>
      <w:pPr>
        <w:pStyle w:val="Normal"/>
        <w:spacing w:lineRule="auto" w:line="480"/>
        <w:ind w:start="720" w:end="0"/>
        <w:jc w:val="both"/>
        <w:rPr>
          <w:rFonts w:ascii="Arial" w:hAnsi="Arial" w:cs="Arial"/>
        </w:rPr>
      </w:pPr>
      <w:r>
        <w:rPr>
          <w:rFonts w:cs="Arial" w:ascii="Arial" w:hAnsi="Arial"/>
        </w:rPr>
      </w:r>
    </w:p>
    <w:p>
      <w:pPr>
        <w:pStyle w:val="Normal"/>
        <w:numPr>
          <w:ilvl w:val="0"/>
          <w:numId w:val="20"/>
        </w:numPr>
        <w:spacing w:lineRule="auto" w:line="480"/>
        <w:jc w:val="both"/>
        <w:rPr>
          <w:rFonts w:ascii="Arial" w:hAnsi="Arial" w:cs="Arial"/>
        </w:rPr>
      </w:pPr>
      <w:r>
        <w:rPr>
          <w:rFonts w:cs="Arial" w:ascii="Arial" w:hAnsi="Arial"/>
        </w:rPr>
        <w:t>The IMO and the OEB and all the market participants who are taking part in the IMO testing and the OEB consultations should be commended for their hard work and commitment</w:t>
      </w:r>
    </w:p>
    <w:p>
      <w:pPr>
        <w:pStyle w:val="Normal"/>
        <w:spacing w:lineRule="auto" w:line="480"/>
        <w:jc w:val="both"/>
        <w:rPr>
          <w:rFonts w:ascii="Arial" w:hAnsi="Arial" w:cs="Arial"/>
        </w:rPr>
      </w:pPr>
      <w:r>
        <w:rPr>
          <w:rFonts w:cs="Arial" w:ascii="Arial" w:hAnsi="Arial"/>
        </w:rPr>
      </w:r>
    </w:p>
    <w:p>
      <w:pPr>
        <w:pStyle w:val="Normal"/>
        <w:numPr>
          <w:ilvl w:val="1"/>
          <w:numId w:val="20"/>
        </w:numPr>
        <w:spacing w:lineRule="auto" w:line="480"/>
        <w:jc w:val="both"/>
        <w:rPr>
          <w:rFonts w:ascii="Arial" w:hAnsi="Arial" w:cs="Arial"/>
        </w:rPr>
      </w:pPr>
      <w:r>
        <w:rPr>
          <w:rFonts w:cs="Arial" w:ascii="Arial" w:hAnsi="Arial"/>
        </w:rPr>
        <w:t>they are doing a great job</w:t>
      </w:r>
    </w:p>
    <w:p>
      <w:pPr>
        <w:pStyle w:val="Normal"/>
        <w:spacing w:lineRule="auto" w:line="480"/>
        <w:ind w:start="1440" w:end="0"/>
        <w:jc w:val="both"/>
        <w:rPr>
          <w:rFonts w:ascii="Arial" w:hAnsi="Arial" w:cs="Arial"/>
        </w:rPr>
      </w:pPr>
      <w:r>
        <w:rPr>
          <w:rFonts w:cs="Arial" w:ascii="Arial" w:hAnsi="Arial"/>
        </w:rPr>
      </w:r>
    </w:p>
    <w:p>
      <w:pPr>
        <w:pStyle w:val="Normal"/>
        <w:numPr>
          <w:ilvl w:val="0"/>
          <w:numId w:val="20"/>
        </w:numPr>
        <w:spacing w:lineRule="auto" w:line="480"/>
        <w:jc w:val="both"/>
        <w:rPr>
          <w:rFonts w:ascii="Arial" w:hAnsi="Arial" w:cs="Arial"/>
        </w:rPr>
      </w:pPr>
      <w:r>
        <w:rPr>
          <w:rFonts w:cs="Arial" w:ascii="Arial" w:hAnsi="Arial"/>
        </w:rPr>
        <w:t>We have great confidence that the IMO/OEB plan can get Ontario to market opening this Fall</w:t>
      </w:r>
    </w:p>
    <w:p>
      <w:pPr>
        <w:pStyle w:val="Normal"/>
        <w:spacing w:lineRule="auto" w:line="480"/>
        <w:ind w:start="720" w:end="0"/>
        <w:jc w:val="both"/>
        <w:rPr>
          <w:rFonts w:ascii="Arial" w:hAnsi="Arial" w:cs="Arial"/>
        </w:rPr>
      </w:pPr>
      <w:r>
        <w:rPr>
          <w:rFonts w:cs="Arial" w:ascii="Arial" w:hAnsi="Arial"/>
        </w:rPr>
      </w:r>
    </w:p>
    <w:p>
      <w:pPr>
        <w:pStyle w:val="Normal"/>
        <w:numPr>
          <w:ilvl w:val="0"/>
          <w:numId w:val="5"/>
        </w:numPr>
        <w:tabs>
          <w:tab w:val="clear" w:pos="720"/>
          <w:tab w:val="left" w:pos="1080" w:leader="none"/>
        </w:tabs>
        <w:spacing w:lineRule="auto" w:line="480"/>
        <w:ind w:hanging="360" w:start="1080" w:end="0"/>
        <w:jc w:val="both"/>
        <w:rPr>
          <w:rFonts w:ascii="Arial" w:hAnsi="Arial" w:cs="Arial"/>
        </w:rPr>
      </w:pPr>
      <w:r>
        <w:rPr>
          <w:rFonts w:cs="Arial" w:ascii="Arial" w:hAnsi="Arial"/>
        </w:rPr>
        <w:t>There are adverse implications of delaying market opening beyond the Fall</w:t>
      </w:r>
    </w:p>
    <w:p>
      <w:pPr>
        <w:pStyle w:val="Normal"/>
        <w:spacing w:lineRule="auto" w:line="480"/>
        <w:ind w:start="720" w:end="0"/>
        <w:jc w:val="both"/>
        <w:rPr>
          <w:rFonts w:ascii="Arial" w:hAnsi="Arial" w:cs="Arial"/>
        </w:rPr>
      </w:pPr>
      <w:r>
        <w:rPr>
          <w:rFonts w:cs="Arial" w:ascii="Arial" w:hAnsi="Arial"/>
        </w:rPr>
      </w:r>
    </w:p>
    <w:p>
      <w:pPr>
        <w:pStyle w:val="Normal"/>
        <w:numPr>
          <w:ilvl w:val="0"/>
          <w:numId w:val="5"/>
        </w:numPr>
        <w:tabs>
          <w:tab w:val="clear" w:pos="720"/>
          <w:tab w:val="left" w:pos="1080" w:leader="none"/>
        </w:tabs>
        <w:spacing w:lineRule="auto" w:line="480"/>
        <w:ind w:hanging="360" w:start="1080" w:end="0"/>
        <w:jc w:val="both"/>
        <w:rPr>
          <w:rFonts w:ascii="Arial" w:hAnsi="Arial" w:cs="Arial"/>
        </w:rPr>
      </w:pPr>
      <w:r>
        <w:rPr>
          <w:rFonts w:cs="Arial" w:ascii="Arial" w:hAnsi="Arial"/>
        </w:rPr>
        <w:t>These adverse consequences must not be underestimated</w:t>
      </w:r>
    </w:p>
    <w:p>
      <w:pPr>
        <w:pStyle w:val="Normal"/>
        <w:spacing w:lineRule="auto" w:line="480"/>
        <w:jc w:val="both"/>
        <w:rPr>
          <w:rFonts w:ascii="Arial" w:hAnsi="Arial" w:cs="Arial"/>
        </w:rPr>
      </w:pPr>
      <w:r>
        <w:rPr>
          <w:rFonts w:cs="Arial" w:ascii="Arial" w:hAnsi="Arial"/>
        </w:rPr>
      </w:r>
    </w:p>
    <w:p>
      <w:pPr>
        <w:pStyle w:val="Normal"/>
        <w:spacing w:lineRule="auto" w:line="480"/>
        <w:ind w:start="720" w:end="0"/>
        <w:jc w:val="both"/>
        <w:rPr>
          <w:rFonts w:ascii="Arial" w:hAnsi="Arial" w:cs="Arial"/>
        </w:rPr>
      </w:pPr>
      <w:r>
        <w:rPr>
          <w:rFonts w:cs="Arial" w:ascii="Arial" w:hAnsi="Arial"/>
        </w:rPr>
      </w:r>
    </w:p>
    <w:p>
      <w:pPr>
        <w:pStyle w:val="Normal"/>
        <w:numPr>
          <w:ilvl w:val="0"/>
          <w:numId w:val="3"/>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First</w:t>
      </w:r>
      <w:r>
        <w:rPr>
          <w:rFonts w:cs="Arial" w:ascii="Arial" w:hAnsi="Arial"/>
        </w:rPr>
        <w:t>, major institutions are gearing up for a market opening later this year.  If market opening is delayed yet again (from 2001 to the Spring of 2002 or later), serious institutional fatigue will set in at the IMO and the utilities, and among new entrants</w:t>
      </w:r>
    </w:p>
    <w:p>
      <w:pPr>
        <w:pStyle w:val="Normal"/>
        <w:spacing w:lineRule="auto" w:line="480"/>
        <w:ind w:start="1512" w:end="0"/>
        <w:jc w:val="both"/>
        <w:rPr>
          <w:rFonts w:ascii="Arial" w:hAnsi="Arial" w:cs="Arial"/>
        </w:rPr>
      </w:pPr>
      <w:r>
        <w:rPr>
          <w:rFonts w:cs="Arial" w:ascii="Arial" w:hAnsi="Arial"/>
        </w:rPr>
      </w:r>
    </w:p>
    <w:p>
      <w:pPr>
        <w:pStyle w:val="Normal"/>
        <w:numPr>
          <w:ilvl w:val="1"/>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In an effort like this, it is very important to maintain momentum</w:t>
      </w:r>
    </w:p>
    <w:p>
      <w:pPr>
        <w:pStyle w:val="Normal"/>
        <w:spacing w:lineRule="auto" w:line="480"/>
        <w:ind w:start="720" w:end="0"/>
        <w:jc w:val="both"/>
        <w:rPr>
          <w:rFonts w:ascii="Arial" w:hAnsi="Arial" w:cs="Arial"/>
        </w:rPr>
      </w:pPr>
      <w:r>
        <w:rPr>
          <w:rFonts w:cs="Arial" w:ascii="Arial" w:hAnsi="Arial"/>
        </w:rPr>
      </w:r>
    </w:p>
    <w:p>
      <w:pPr>
        <w:pStyle w:val="Normal"/>
        <w:numPr>
          <w:ilvl w:val="1"/>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I understand that Alan Stockdale, the former Treasurer of the State of Victoria, made this very point in his remarks at the Board of Trade last week.  Mr. Stockdale was a key figure in the successful restructuring of the Victoria electricity market.  I totally agree with what he said about the need to maintain “momentum”.</w:t>
      </w:r>
    </w:p>
    <w:p>
      <w:pPr>
        <w:pStyle w:val="Normal"/>
        <w:spacing w:lineRule="auto" w:line="480"/>
        <w:jc w:val="both"/>
        <w:rPr>
          <w:rFonts w:ascii="Arial" w:hAnsi="Arial" w:cs="Arial"/>
        </w:rPr>
      </w:pPr>
      <w:r>
        <w:rPr>
          <w:rFonts w:cs="Arial" w:ascii="Arial" w:hAnsi="Arial"/>
        </w:rPr>
        <w:tab/>
        <w:tab/>
      </w:r>
    </w:p>
    <w:p>
      <w:pPr>
        <w:pStyle w:val="Normal"/>
        <w:numPr>
          <w:ilvl w:val="2"/>
          <w:numId w:val="3"/>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Second</w:t>
      </w:r>
      <w:r>
        <w:rPr>
          <w:rFonts w:cs="Arial" w:ascii="Arial" w:hAnsi="Arial"/>
        </w:rPr>
        <w:t xml:space="preserve">, many participants, including large industrial customers, have, in expectation of market opening later this year, already entered into the commercial arrangements necessary for market opening and the post-market opening period  </w:t>
      </w:r>
    </w:p>
    <w:p>
      <w:pPr>
        <w:pStyle w:val="Normal"/>
        <w:spacing w:lineRule="auto" w:line="480"/>
        <w:jc w:val="both"/>
        <w:rPr>
          <w:rFonts w:ascii="Arial" w:hAnsi="Arial" w:cs="Arial"/>
        </w:rPr>
      </w:pPr>
      <w:r>
        <w:rPr>
          <w:rFonts w:cs="Arial" w:ascii="Arial" w:hAnsi="Arial"/>
        </w:rPr>
      </w:r>
    </w:p>
    <w:p>
      <w:pPr>
        <w:pStyle w:val="Normal"/>
        <w:numPr>
          <w:ilvl w:val="3"/>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 xml:space="preserve">Those commercial arrangements relate to matters such as power procurement, power supply, risk management, and settlement and dispatch services </w:t>
      </w:r>
    </w:p>
    <w:p>
      <w:pPr>
        <w:pStyle w:val="Normal"/>
        <w:spacing w:lineRule="auto" w:line="480"/>
        <w:ind w:start="720" w:end="0"/>
        <w:jc w:val="both"/>
        <w:rPr>
          <w:rFonts w:ascii="Arial" w:hAnsi="Arial" w:cs="Arial"/>
        </w:rPr>
      </w:pPr>
      <w:r>
        <w:rPr>
          <w:rFonts w:cs="Arial" w:ascii="Arial" w:hAnsi="Arial"/>
        </w:rPr>
      </w:r>
    </w:p>
    <w:p>
      <w:pPr>
        <w:pStyle w:val="Normal"/>
        <w:numPr>
          <w:ilvl w:val="3"/>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 xml:space="preserve">These arrangements have helped and are helping industrial consumers lock in prices with respect to their power supply </w:t>
      </w:r>
    </w:p>
    <w:p>
      <w:pPr>
        <w:pStyle w:val="Normal"/>
        <w:spacing w:lineRule="auto" w:line="480"/>
        <w:jc w:val="both"/>
        <w:rPr>
          <w:rFonts w:ascii="Arial" w:hAnsi="Arial" w:cs="Arial"/>
        </w:rPr>
      </w:pPr>
      <w:r>
        <w:rPr>
          <w:rFonts w:cs="Arial" w:ascii="Arial" w:hAnsi="Arial"/>
        </w:rPr>
      </w:r>
    </w:p>
    <w:p>
      <w:pPr>
        <w:pStyle w:val="Normal"/>
        <w:numPr>
          <w:ilvl w:val="3"/>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These existing arrangements, including the underlying pricing terms, may be jeopardized by a further delay in the market</w:t>
      </w:r>
    </w:p>
    <w:p>
      <w:pPr>
        <w:pStyle w:val="Normal"/>
        <w:spacing w:lineRule="auto" w:line="480"/>
        <w:ind w:start="288" w:end="0"/>
        <w:jc w:val="both"/>
        <w:rPr>
          <w:rFonts w:ascii="Arial" w:hAnsi="Arial" w:cs="Arial"/>
        </w:rPr>
      </w:pPr>
      <w:r>
        <w:rPr>
          <w:rFonts w:eastAsia="Arial" w:cs="Arial" w:ascii="Arial" w:hAnsi="Arial"/>
        </w:rPr>
        <w:t xml:space="preserve">                                                                                                                </w:t>
      </w:r>
      <w:r>
        <w:rPr>
          <w:rFonts w:cs="Arial" w:ascii="Arial" w:hAnsi="Arial"/>
        </w:rPr>
        <w:tab/>
      </w:r>
    </w:p>
    <w:p>
      <w:pPr>
        <w:pStyle w:val="Normal"/>
        <w:numPr>
          <w:ilvl w:val="4"/>
          <w:numId w:val="3"/>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Third</w:t>
      </w:r>
      <w:r>
        <w:rPr>
          <w:rFonts w:cs="Arial" w:ascii="Arial" w:hAnsi="Arial"/>
        </w:rPr>
        <w:t xml:space="preserve">, a further delay in market opening will also complicate efforts to proceed with the “decontrol” or divestiture of OPG generation assets  </w:t>
      </w:r>
    </w:p>
    <w:p>
      <w:pPr>
        <w:pStyle w:val="Normal"/>
        <w:spacing w:lineRule="auto" w:line="480"/>
        <w:ind w:start="720" w:end="0"/>
        <w:jc w:val="both"/>
        <w:rPr>
          <w:rFonts w:ascii="Arial" w:hAnsi="Arial" w:cs="Arial"/>
        </w:rPr>
      </w:pPr>
      <w:r>
        <w:rPr>
          <w:rFonts w:cs="Arial" w:ascii="Arial" w:hAnsi="Arial"/>
        </w:rPr>
      </w:r>
    </w:p>
    <w:p>
      <w:pPr>
        <w:pStyle w:val="Normal"/>
        <w:numPr>
          <w:ilvl w:val="5"/>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Those entities which might have an interest in OPG assets will, for valuation purposes, want to have as much information as possible about pricing in the market in which those assets are located</w:t>
      </w:r>
    </w:p>
    <w:p>
      <w:pPr>
        <w:pStyle w:val="Normal"/>
        <w:spacing w:lineRule="auto" w:line="480"/>
        <w:ind w:start="720" w:end="0"/>
        <w:jc w:val="both"/>
        <w:rPr>
          <w:rFonts w:ascii="Arial" w:hAnsi="Arial" w:cs="Arial"/>
        </w:rPr>
      </w:pPr>
      <w:r>
        <w:rPr>
          <w:rFonts w:cs="Arial" w:ascii="Arial" w:hAnsi="Arial"/>
        </w:rPr>
      </w:r>
    </w:p>
    <w:p>
      <w:pPr>
        <w:pStyle w:val="Normal"/>
        <w:numPr>
          <w:ilvl w:val="5"/>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 xml:space="preserve">A delay will simply reduce and postpone the period of time over which entities contemplating the acquisition of such assets will be able to observe the way the price setting mechanisms in the Ontario market actually operate </w:t>
      </w:r>
    </w:p>
    <w:p>
      <w:pPr>
        <w:pStyle w:val="Normal"/>
        <w:spacing w:lineRule="auto" w:line="480"/>
        <w:jc w:val="both"/>
        <w:rPr>
          <w:rFonts w:ascii="Arial" w:hAnsi="Arial" w:cs="Arial"/>
        </w:rPr>
      </w:pPr>
      <w:r>
        <w:rPr>
          <w:rFonts w:cs="Arial" w:ascii="Arial" w:hAnsi="Arial"/>
        </w:rPr>
      </w:r>
    </w:p>
    <w:p>
      <w:pPr>
        <w:pStyle w:val="Normal"/>
        <w:numPr>
          <w:ilvl w:val="5"/>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Accordingly, the relative lack of data regarding market operations will lead potential buyers of OPG assets either to stay away or to discount the price they would otherwise be willing to pay for such assets</w:t>
      </w:r>
    </w:p>
    <w:p>
      <w:pPr>
        <w:pStyle w:val="Normal"/>
        <w:spacing w:lineRule="auto" w:line="480"/>
        <w:jc w:val="both"/>
        <w:rPr>
          <w:rFonts w:ascii="Arial" w:hAnsi="Arial" w:cs="Arial"/>
        </w:rPr>
      </w:pPr>
      <w:r>
        <w:rPr>
          <w:rFonts w:cs="Arial" w:ascii="Arial" w:hAnsi="Arial"/>
        </w:rPr>
      </w:r>
    </w:p>
    <w:p>
      <w:pPr>
        <w:pStyle w:val="Normal"/>
        <w:numPr>
          <w:ilvl w:val="5"/>
          <w:numId w:val="3"/>
        </w:numPr>
        <w:tabs>
          <w:tab w:val="clear" w:pos="720"/>
          <w:tab w:val="left" w:pos="1080" w:leader="none"/>
        </w:tabs>
        <w:spacing w:lineRule="auto" w:line="480"/>
        <w:ind w:hanging="360" w:start="1080" w:end="0"/>
        <w:jc w:val="both"/>
        <w:rPr>
          <w:rFonts w:ascii="Arial" w:hAnsi="Arial" w:cs="Arial"/>
        </w:rPr>
      </w:pPr>
      <w:r>
        <w:rPr>
          <w:rFonts w:cs="Arial" w:ascii="Arial" w:hAnsi="Arial"/>
        </w:rPr>
        <w:t>That can’t be good for the Province</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u w:val="single"/>
        </w:rPr>
        <w:t>Fourth</w:t>
      </w:r>
      <w:r>
        <w:rPr>
          <w:rFonts w:cs="Arial" w:ascii="Arial" w:hAnsi="Arial"/>
        </w:rPr>
        <w:t xml:space="preserve">, with a further delay, I can assure you that the restructuring process in Ontario will lose credibility among those who might otherwise invest in or enter the market and, in particular, among those who, like Enron, have already committed significant resources to the Ontario market   </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rPr>
        <w:t>The Province cannot delay the market yet again and expect investors / new entrants to stay interested and continue to commit resources to the Ontario electricity sector</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rPr>
        <w:t>A delay in the market beyond the Fall will, without question, lead to a reassessment of our own level of commitment to this market and whether the capital and the skilled individuals we have here might not be better employed elsewhere</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rPr>
        <w:t>I have no doubt but that others are in the same position</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rPr>
        <w:t xml:space="preserve">When such credibility is lost, investment capital will quickly move on to invest in other regions or markets where more credibility or certainty exists  </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rPr>
        <w:t>This reaction is increasingly true given the acute need for investment in development of generation facilities and the marketing of power across the continent and, indeed, worldwide</w:t>
      </w:r>
    </w:p>
    <w:p>
      <w:pPr>
        <w:pStyle w:val="Normal"/>
        <w:spacing w:lineRule="auto" w:line="480"/>
        <w:jc w:val="both"/>
        <w:rPr>
          <w:rFonts w:ascii="Arial" w:hAnsi="Arial" w:cs="Arial"/>
        </w:rPr>
      </w:pPr>
      <w:r>
        <w:rPr>
          <w:rFonts w:cs="Arial" w:ascii="Arial" w:hAnsi="Arial"/>
        </w:rPr>
      </w:r>
    </w:p>
    <w:p>
      <w:pPr>
        <w:pStyle w:val="Normal"/>
        <w:numPr>
          <w:ilvl w:val="6"/>
          <w:numId w:val="3"/>
        </w:numPr>
        <w:tabs>
          <w:tab w:val="clear" w:pos="720"/>
          <w:tab w:val="left" w:pos="360" w:leader="none"/>
        </w:tabs>
        <w:spacing w:lineRule="auto" w:line="480"/>
        <w:ind w:hanging="360" w:start="360" w:end="0"/>
        <w:jc w:val="both"/>
        <w:rPr>
          <w:rFonts w:ascii="Arial" w:hAnsi="Arial" w:cs="Arial"/>
        </w:rPr>
      </w:pPr>
      <w:r>
        <w:rPr>
          <w:rFonts w:cs="Arial" w:ascii="Arial" w:hAnsi="Arial"/>
        </w:rPr>
        <w:t>For instance, California needs significant capital investment and will be competing with jurisdictions such as Ontario for capital and for turbines</w:t>
      </w:r>
    </w:p>
    <w:p>
      <w:pPr>
        <w:pStyle w:val="Normal"/>
        <w:spacing w:lineRule="auto" w:line="480"/>
        <w:ind w:start="360" w:end="0"/>
        <w:jc w:val="both"/>
        <w:rPr>
          <w:rFonts w:ascii="Arial" w:hAnsi="Arial" w:cs="Arial"/>
          <w:b/>
          <w:bCs/>
        </w:rPr>
      </w:pPr>
      <w:r>
        <w:rPr>
          <w:rFonts w:cs="Arial" w:ascii="Arial" w:hAnsi="Arial"/>
          <w:b/>
          <w:bCs/>
        </w:rPr>
      </w:r>
    </w:p>
    <w:p>
      <w:pPr>
        <w:pStyle w:val="Heading2"/>
        <w:rPr/>
      </w:pPr>
      <w:r>
        <w:rPr/>
        <w:t>Part V – Don’t Delay until Return of Pickering</w:t>
      </w:r>
    </w:p>
    <w:p>
      <w:pPr>
        <w:pStyle w:val="Normal"/>
        <w:rPr/>
      </w:pPr>
      <w:r>
        <w:rPr/>
      </w:r>
    </w:p>
    <w:p>
      <w:pPr>
        <w:pStyle w:val="Normal"/>
        <w:numPr>
          <w:ilvl w:val="0"/>
          <w:numId w:val="4"/>
        </w:numPr>
        <w:spacing w:lineRule="auto" w:line="480"/>
        <w:jc w:val="both"/>
        <w:rPr>
          <w:rFonts w:ascii="Arial" w:hAnsi="Arial" w:cs="Arial"/>
        </w:rPr>
      </w:pPr>
      <w:r>
        <w:rPr>
          <w:rFonts w:cs="Arial" w:ascii="Arial" w:hAnsi="Arial"/>
        </w:rPr>
        <w:t>I understand that some stakeholders have suggested that market opening should be delayed pending the return of at least one of the Pickering nuclear units</w:t>
      </w:r>
    </w:p>
    <w:p>
      <w:pPr>
        <w:pStyle w:val="Normal"/>
        <w:spacing w:lineRule="auto" w:line="480"/>
        <w:ind w:start="360" w:end="0"/>
        <w:jc w:val="both"/>
        <w:rPr>
          <w:rFonts w:ascii="Arial" w:hAnsi="Arial" w:cs="Arial"/>
        </w:rPr>
      </w:pPr>
      <w:r>
        <w:rPr>
          <w:rFonts w:cs="Arial" w:ascii="Arial" w:hAnsi="Arial"/>
        </w:rPr>
      </w:r>
    </w:p>
    <w:p>
      <w:pPr>
        <w:pStyle w:val="Normal"/>
        <w:numPr>
          <w:ilvl w:val="0"/>
          <w:numId w:val="4"/>
        </w:numPr>
        <w:spacing w:lineRule="auto" w:line="480"/>
        <w:jc w:val="both"/>
        <w:rPr>
          <w:rFonts w:ascii="Arial" w:hAnsi="Arial" w:cs="Arial"/>
        </w:rPr>
      </w:pPr>
      <w:r>
        <w:rPr>
          <w:rFonts w:cs="Arial" w:ascii="Arial" w:hAnsi="Arial"/>
        </w:rPr>
        <w:t xml:space="preserve">In our view, that would be the wrong public policy decision: </w:t>
      </w:r>
    </w:p>
    <w:p>
      <w:pPr>
        <w:pStyle w:val="Normal"/>
        <w:spacing w:lineRule="auto" w:line="480"/>
        <w:jc w:val="both"/>
        <w:rPr>
          <w:rFonts w:ascii="Arial" w:hAnsi="Arial" w:cs="Arial"/>
        </w:rPr>
      </w:pPr>
      <w:r>
        <w:rPr>
          <w:rFonts w:cs="Arial" w:ascii="Arial" w:hAnsi="Arial"/>
        </w:rPr>
      </w:r>
    </w:p>
    <w:p>
      <w:pPr>
        <w:pStyle w:val="Normal"/>
        <w:numPr>
          <w:ilvl w:val="0"/>
          <w:numId w:val="22"/>
        </w:numPr>
        <w:spacing w:lineRule="auto" w:line="480"/>
        <w:jc w:val="both"/>
        <w:rPr>
          <w:rFonts w:ascii="Arial" w:hAnsi="Arial" w:cs="Arial"/>
          <w:u w:val="single"/>
        </w:rPr>
      </w:pPr>
      <w:r>
        <w:rPr>
          <w:rFonts w:cs="Arial" w:ascii="Arial" w:hAnsi="Arial"/>
        </w:rPr>
        <w:t>Delaying market opening will not bring those Pickering units back on stream any earlier.  Even without the Pickering A units, Ontario has a manageable reserve margin.</w:t>
      </w:r>
    </w:p>
    <w:p>
      <w:pPr>
        <w:pStyle w:val="Normal"/>
        <w:spacing w:lineRule="auto" w:line="480"/>
        <w:jc w:val="both"/>
        <w:rPr>
          <w:rFonts w:ascii="Arial" w:hAnsi="Arial" w:cs="Arial"/>
          <w:u w:val="single"/>
        </w:rPr>
      </w:pPr>
      <w:r>
        <w:rPr>
          <w:rFonts w:cs="Arial" w:ascii="Arial" w:hAnsi="Arial"/>
        </w:rPr>
        <w:tab/>
        <w:tab/>
        <w:tab/>
      </w:r>
    </w:p>
    <w:p>
      <w:pPr>
        <w:pStyle w:val="Normal"/>
        <w:numPr>
          <w:ilvl w:val="0"/>
          <w:numId w:val="22"/>
        </w:numPr>
        <w:spacing w:lineRule="auto" w:line="480"/>
        <w:jc w:val="both"/>
        <w:rPr>
          <w:rFonts w:ascii="Arial" w:hAnsi="Arial" w:cs="Arial"/>
          <w:u w:val="single"/>
        </w:rPr>
      </w:pPr>
      <w:r>
        <w:rPr>
          <w:rFonts w:cs="Arial" w:ascii="Arial" w:hAnsi="Arial"/>
        </w:rPr>
        <w:t>OPG’s nuclear optimization programme is an enormous undertaking.  It is understandable that it is already behind schedule and over budget. However, given that track record, we cannot say with confidence precisely when the Pickering units will in fact be operational.  Accordingly, making market opening conditional, in any way, on the return to service of the Pickering A units would add considerably to the uncertainty among investors/new entrants regarding the future direction of the Ontario electricity sector.</w:t>
        <w:tab/>
        <w:tab/>
        <w:tab/>
        <w:tab/>
        <w:tab/>
        <w:tab/>
        <w:tab/>
        <w:tab/>
        <w:tab/>
        <w:tab/>
        <w:tab/>
      </w:r>
    </w:p>
    <w:p>
      <w:pPr>
        <w:pStyle w:val="Normal"/>
        <w:numPr>
          <w:ilvl w:val="0"/>
          <w:numId w:val="8"/>
        </w:numPr>
        <w:spacing w:lineRule="auto" w:line="480"/>
        <w:jc w:val="both"/>
        <w:rPr>
          <w:rFonts w:ascii="Arial" w:hAnsi="Arial" w:cs="Arial"/>
        </w:rPr>
      </w:pPr>
      <w:r>
        <w:rPr>
          <w:rFonts w:cs="Arial" w:ascii="Arial" w:hAnsi="Arial"/>
        </w:rPr>
        <w:t xml:space="preserve">Our own assessment is that the return to service of one or more of the Pickering units will not by itself have a material impact on power prices in Ontario. In a competitive market, prices in Ontario will track prices in the Eastern Interconnect after accounting for congestion costs and transmission charges.  Accordingly, we can say with a very high degree of confidence that, given Ontario’s reserve margin, Ontario prices will, on average, be </w:t>
      </w:r>
      <w:r>
        <w:rPr>
          <w:rFonts w:cs="Arial" w:ascii="Arial" w:hAnsi="Arial"/>
          <w:b/>
          <w:bCs/>
        </w:rPr>
        <w:t>lower</w:t>
      </w:r>
      <w:r>
        <w:rPr>
          <w:rFonts w:cs="Arial" w:ascii="Arial" w:hAnsi="Arial"/>
        </w:rPr>
        <w:t xml:space="preserve"> than in the connected US markets, </w:t>
      </w:r>
      <w:r>
        <w:rPr>
          <w:rFonts w:cs="Arial" w:ascii="Arial" w:hAnsi="Arial"/>
          <w:b/>
          <w:bCs/>
        </w:rPr>
        <w:t>even prior</w:t>
      </w:r>
      <w:r>
        <w:rPr>
          <w:rFonts w:cs="Arial" w:ascii="Arial" w:hAnsi="Arial"/>
        </w:rPr>
        <w:t xml:space="preserve"> to the return of the Pickering units. </w:t>
      </w:r>
    </w:p>
    <w:p>
      <w:pPr>
        <w:pStyle w:val="Normal"/>
        <w:spacing w:lineRule="auto" w:line="480"/>
        <w:jc w:val="both"/>
        <w:rPr>
          <w:rFonts w:ascii="Arial" w:hAnsi="Arial" w:cs="Arial"/>
        </w:rPr>
      </w:pPr>
      <w:r>
        <w:rPr>
          <w:rFonts w:cs="Arial" w:ascii="Arial" w:hAnsi="Arial"/>
        </w:rPr>
      </w:r>
    </w:p>
    <w:p>
      <w:pPr>
        <w:pStyle w:val="Normal"/>
        <w:numPr>
          <w:ilvl w:val="0"/>
          <w:numId w:val="9"/>
        </w:numPr>
        <w:spacing w:lineRule="auto" w:line="480"/>
        <w:jc w:val="both"/>
        <w:rPr>
          <w:rFonts w:ascii="Arial" w:hAnsi="Arial" w:cs="Arial"/>
        </w:rPr>
      </w:pPr>
      <w:r>
        <w:rPr>
          <w:rFonts w:cs="Arial" w:ascii="Arial" w:hAnsi="Arial"/>
        </w:rPr>
        <w:t xml:space="preserve">Prices in the Eastern Interconnect will decrease as new generation facilities are built throughout the region and as fuel costs decline. The best way for Ontario to reap the benefits of that trend is to establish an open market as soon as possible. The best way for Ontario to contribute to that downward pressure on prices is to establish a market environment in which generators can, with confidence, plan for and undertake investment within the Province. </w:t>
      </w:r>
    </w:p>
    <w:p>
      <w:pPr>
        <w:pStyle w:val="Normal"/>
        <w:spacing w:lineRule="auto" w:line="480"/>
        <w:ind w:end="-180"/>
        <w:jc w:val="both"/>
        <w:rPr>
          <w:rFonts w:ascii="Arial" w:hAnsi="Arial" w:cs="Arial"/>
        </w:rPr>
      </w:pPr>
      <w:r>
        <w:rPr>
          <w:rFonts w:cs="Arial" w:ascii="Arial" w:hAnsi="Arial"/>
        </w:rPr>
      </w:r>
    </w:p>
    <w:p>
      <w:pPr>
        <w:pStyle w:val="Normal"/>
        <w:numPr>
          <w:ilvl w:val="3"/>
          <w:numId w:val="7"/>
        </w:numPr>
        <w:tabs>
          <w:tab w:val="clear" w:pos="720"/>
        </w:tabs>
        <w:spacing w:lineRule="auto" w:line="480"/>
        <w:ind w:hanging="360" w:start="720" w:end="0"/>
        <w:jc w:val="both"/>
        <w:rPr>
          <w:rFonts w:ascii="Arial" w:hAnsi="Arial" w:cs="Arial"/>
        </w:rPr>
      </w:pPr>
      <w:r>
        <w:rPr>
          <w:rFonts w:cs="Arial" w:ascii="Arial" w:hAnsi="Arial"/>
        </w:rPr>
        <w:t>The Ontario Government should have confidence in the restructuring plan which, under its leadership, is now in place in Ontario</w:t>
      </w:r>
    </w:p>
    <w:p>
      <w:pPr>
        <w:pStyle w:val="Normal"/>
        <w:spacing w:lineRule="auto" w:line="480"/>
        <w:ind w:start="360" w:end="0"/>
        <w:jc w:val="both"/>
        <w:rPr>
          <w:rFonts w:ascii="Arial" w:hAnsi="Arial" w:cs="Arial"/>
        </w:rPr>
      </w:pPr>
      <w:r>
        <w:rPr>
          <w:rFonts w:cs="Arial" w:ascii="Arial" w:hAnsi="Arial"/>
        </w:rPr>
      </w:r>
    </w:p>
    <w:p>
      <w:pPr>
        <w:pStyle w:val="Normal"/>
        <w:numPr>
          <w:ilvl w:val="3"/>
          <w:numId w:val="7"/>
        </w:numPr>
        <w:tabs>
          <w:tab w:val="clear" w:pos="720"/>
        </w:tabs>
        <w:spacing w:lineRule="auto" w:line="480"/>
        <w:ind w:hanging="360" w:start="720" w:end="0"/>
        <w:jc w:val="both"/>
        <w:rPr>
          <w:rFonts w:ascii="Arial" w:hAnsi="Arial" w:cs="Arial"/>
        </w:rPr>
      </w:pPr>
      <w:r>
        <w:rPr>
          <w:rFonts w:cs="Arial" w:ascii="Arial" w:hAnsi="Arial"/>
        </w:rPr>
        <w:t>The Ontario Government should have confidence that the best way forward is to proceed with the implementation of that plan and with the opening of the Ontario wholesale and retail markets in the early Fall of 2001</w:t>
      </w:r>
    </w:p>
    <w:p>
      <w:pPr>
        <w:pStyle w:val="Normal"/>
        <w:spacing w:lineRule="auto" w:line="480"/>
        <w:jc w:val="both"/>
        <w:rPr>
          <w:rFonts w:ascii="Arial" w:hAnsi="Arial" w:cs="Arial"/>
        </w:rPr>
      </w:pPr>
      <w:r>
        <w:rPr>
          <w:rFonts w:cs="Arial" w:ascii="Arial" w:hAnsi="Arial"/>
        </w:rPr>
      </w:r>
    </w:p>
    <w:p>
      <w:pPr>
        <w:pStyle w:val="Normal"/>
        <w:numPr>
          <w:ilvl w:val="3"/>
          <w:numId w:val="7"/>
        </w:numPr>
        <w:tabs>
          <w:tab w:val="clear" w:pos="720"/>
        </w:tabs>
        <w:spacing w:lineRule="auto" w:line="480"/>
        <w:ind w:hanging="360" w:start="720" w:end="0"/>
        <w:jc w:val="both"/>
        <w:rPr>
          <w:rFonts w:ascii="Arial" w:hAnsi="Arial" w:cs="Arial"/>
        </w:rPr>
      </w:pPr>
      <w:r>
        <w:rPr>
          <w:rFonts w:cs="Arial" w:ascii="Arial" w:hAnsi="Arial"/>
        </w:rPr>
        <w:t>QUESTIONS FROM FLOOR</w:t>
      </w:r>
    </w:p>
    <w:sectPr>
      <w:headerReference w:type="default" r:id="rId2"/>
      <w:headerReference w:type="first" r:id="rId3"/>
      <w:footerReference w:type="default" r:id="rId4"/>
      <w:footerReference w:type="first" r:id="rId5"/>
      <w:type w:val="nextPage"/>
      <w:pgSz w:w="12240" w:h="15840"/>
      <w:pgMar w:left="1440" w:right="1440" w:gutter="0" w:header="720" w:top="126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/mnt/main-storage/datasets/enron-docs/doc/Speech_Apr_4.doc</w:t>
    </w:r>
    <w:r>
      <w:rPr>
        <w:sz w:val="16"/>
      </w:rPr>
      <w:fldChar w:fldCharType="end"/>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5715000" cy="233680"/>
              <wp:effectExtent l="0" t="0" r="0" b="0"/>
              <wp:wrapSquare wrapText="bothSides"/>
              <wp:docPr id="2" name="Frame1"/>
              <a:graphic xmlns:a="http://schemas.openxmlformats.org/drawingml/2006/main">
                <a:graphicData uri="http://schemas.microsoft.com/office/word/2010/wordprocessingShape">
                  <wps:wsp>
                    <wps:cNvSpPr txBox="1"/>
                    <wps:spPr>
                      <a:xfrm>
                        <a:off x="0" y="0"/>
                        <a:ext cx="5715000" cy="233680"/>
                      </a:xfrm>
                      <a:prstGeom prst="rect"/>
                      <a:solidFill>
                        <a:srgbClr val="FFFFFF">
                          <a:alpha val="0"/>
                        </a:srgbClr>
                      </a:solidFill>
                    </wps:spPr>
                    <wps:txbx>
                      <w:txbxContent>
                        <w:p>
                          <w:pPr>
                            <w:pStyle w:val="Footer"/>
                            <w:rPr>
                              <w:rStyle w:val="PageNumber"/>
                              <w:sz w:val="16"/>
                            </w:rPr>
                          </w:pPr>
                          <w:r>
                            <w:rPr/>
                          </w:r>
                        </w:p>
                        <w:p>
                          <w:pPr>
                            <w:pStyle w:val="Footer"/>
                            <w:rPr>
                              <w:rStyle w:val="PageNumber"/>
                              <w:sz w:val="16"/>
                            </w:rPr>
                          </w:pPr>
                          <w:r>
                            <w:rPr/>
                          </w:r>
                        </w:p>
                      </w:txbxContent>
                    </wps:txbx>
                    <wps:bodyPr anchor="t" lIns="0" tIns="0" rIns="0" bIns="0">
                      <a:noAutofit/>
                    </wps:bodyPr>
                  </wps:wsp>
                </a:graphicData>
              </a:graphic>
            </wp:anchor>
          </w:drawing>
        </mc:Choice>
        <mc:Fallback>
          <w:pict>
            <v:rect fillcolor="#FFFFFF" style="position:absolute;rotation:-0;width:450pt;height:18.4pt;mso-wrap-distance-left:0pt;mso-wrap-distance-right:0pt;mso-wrap-distance-top:0pt;mso-wrap-distance-bottom:0pt;margin-top:0.05pt;mso-position-vertical-relative:text;margin-left:9pt;mso-position-horizontal:center;mso-position-horizontal-relative:margin">
              <v:fill opacity="0f"/>
              <v:textbox inset="0in,0in,0in,0in">
                <w:txbxContent>
                  <w:p>
                    <w:pPr>
                      <w:pStyle w:val="Footer"/>
                      <w:rPr>
                        <w:rStyle w:val="PageNumber"/>
                        <w:sz w:val="16"/>
                      </w:rPr>
                    </w:pPr>
                    <w:r>
                      <w:rPr/>
                    </w:r>
                  </w:p>
                  <w:p>
                    <w:pPr>
                      <w:pStyle w:val="Footer"/>
                      <w:rPr>
                        <w:rStyle w:val="PageNumber"/>
                        <w:sz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/mnt/main-storage/datasets/enron-docs/doc/Speech_Apr_4.doc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3" w:hAnsi="Wingdings 3" w:cs="Wingdings 3"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Wingdings 3" w:hAnsi="Wingdings 3" w:cs="Wingdings 3" w:hint="default"/>
      </w:rPr>
    </w:lvl>
    <w:lvl w:ilvl="4">
      <w:start w:val="1"/>
      <w:numFmt w:val="bullet"/>
      <w:lvlText w:val=""/>
      <w:lvlJc w:val="start"/>
      <w:pPr>
        <w:tabs>
          <w:tab w:val="num" w:pos="3600"/>
        </w:tabs>
        <w:ind w:start="3600" w:hanging="360"/>
      </w:pPr>
      <w:rPr>
        <w:rFonts w:ascii="Symbol" w:hAnsi="Symbol" w:cs="Symbol" w:hint="default"/>
      </w:rPr>
    </w:lvl>
    <w:lvl w:ilvl="5">
      <w:start w:val="1"/>
      <w:numFmt w:val="bullet"/>
      <w:lvlText w:val=""/>
      <w:lvlJc w:val="start"/>
      <w:pPr>
        <w:tabs>
          <w:tab w:val="num" w:pos="4320"/>
        </w:tabs>
        <w:ind w:start="4320" w:hanging="360"/>
      </w:pPr>
      <w:rPr>
        <w:rFonts w:ascii="Wingdings 3" w:hAnsi="Wingdings 3" w:cs="Wingdings 3"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432"/>
      </w:pPr>
      <w:rPr>
        <w:rFonts w:ascii="Symbol" w:hAnsi="Symbol" w:cs="Symbol" w:hint="default"/>
        <w:sz w:val="20"/>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952"/>
        </w:tabs>
        <w:ind w:start="2952" w:hanging="432"/>
      </w:pPr>
      <w:rPr>
        <w:rFonts w:ascii="Symbol" w:hAnsi="Symbol" w:cs="Symbol" w:hint="default"/>
        <w:sz w:val="20"/>
        <w:color w:val="000000"/>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1008"/>
        </w:tabs>
        <w:ind w:start="1008" w:hanging="360"/>
      </w:pPr>
      <w:rPr>
        <w:rFonts w:ascii="Wingdings 3" w:hAnsi="Wingdings 3" w:cs="Wingdings 3" w:hint="default"/>
      </w:rPr>
    </w:lvl>
  </w:abstractNum>
  <w:abstractNum w:abstractNumId="9">
    <w:lvl w:ilvl="0">
      <w:start w:val="1"/>
      <w:numFmt w:val="bullet"/>
      <w:lvlText w:val=""/>
      <w:lvlJc w:val="start"/>
      <w:pPr>
        <w:tabs>
          <w:tab w:val="num" w:pos="1008"/>
        </w:tabs>
        <w:ind w:start="1008" w:hanging="360"/>
      </w:pPr>
      <w:rPr>
        <w:rFonts w:ascii="Wingdings 3" w:hAnsi="Wingdings 3" w:cs="Wingdings 3" w:hint="default"/>
      </w:rPr>
    </w:lvl>
  </w:abstractNum>
  <w:abstractNum w:abstractNumId="10">
    <w:lvl w:ilvl="0">
      <w:start w:val="1"/>
      <w:numFmt w:val="decimal"/>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rPr>
    </w:lvl>
    <w:lvl w:ilvl="2">
      <w:start w:val="1"/>
      <w:numFmt w:val="bullet"/>
      <w:lvlText w:val=""/>
      <w:lvlJc w:val="start"/>
      <w:pPr>
        <w:tabs>
          <w:tab w:val="num" w:pos="2700"/>
        </w:tabs>
        <w:ind w:start="2700" w:hanging="360"/>
      </w:pPr>
      <w:rPr>
        <w:rFonts w:ascii="Wingdings 3" w:hAnsi="Wingdings 3" w:cs="Wingdings 3" w:hint="default"/>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1800"/>
        </w:tabs>
        <w:ind w:start="180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560"/>
        </w:tabs>
        <w:ind w:start="7560" w:hanging="360"/>
      </w:pPr>
      <w:rPr>
        <w:rFonts w:ascii="Wingdings 3" w:hAnsi="Wingdings 3" w:cs="Wingdings 3" w:hint="default"/>
      </w:rPr>
    </w:lvl>
    <w:lvl w:ilvl="1">
      <w:start w:val="1"/>
      <w:numFmt w:val="bullet"/>
      <w:lvlText w:val=""/>
      <w:lvlJc w:val="start"/>
      <w:pPr>
        <w:tabs>
          <w:tab w:val="num" w:pos="7920"/>
        </w:tabs>
        <w:ind w:start="7920" w:hanging="360"/>
      </w:pPr>
      <w:rPr>
        <w:rFonts w:ascii="Symbol" w:hAnsi="Symbol" w:cs="Symbol" w:hint="default"/>
      </w:rPr>
    </w:lvl>
    <w:lvl w:ilvl="2">
      <w:start w:val="1"/>
      <w:numFmt w:val="bullet"/>
      <w:lvlText w:val=""/>
      <w:lvlJc w:val="start"/>
      <w:pPr>
        <w:tabs>
          <w:tab w:val="num" w:pos="8640"/>
        </w:tabs>
        <w:ind w:start="8640" w:hanging="360"/>
      </w:pPr>
      <w:rPr>
        <w:rFonts w:ascii="Wingdings" w:hAnsi="Wingdings" w:cs="Wingdings" w:hint="default"/>
      </w:rPr>
    </w:lvl>
    <w:lvl w:ilvl="3">
      <w:start w:val="1"/>
      <w:numFmt w:val="bullet"/>
      <w:lvlText w:val=""/>
      <w:lvlJc w:val="start"/>
      <w:pPr>
        <w:tabs>
          <w:tab w:val="num" w:pos="9360"/>
        </w:tabs>
        <w:ind w:start="9360" w:hanging="360"/>
      </w:pPr>
      <w:rPr>
        <w:rFonts w:ascii="Symbol" w:hAnsi="Symbol" w:cs="Symbol" w:hint="default"/>
      </w:rPr>
    </w:lvl>
    <w:lvl w:ilvl="4">
      <w:start w:val="1"/>
      <w:numFmt w:val="bullet"/>
      <w:lvlText w:val="o"/>
      <w:lvlJc w:val="start"/>
      <w:pPr>
        <w:tabs>
          <w:tab w:val="num" w:pos="10080"/>
        </w:tabs>
        <w:ind w:start="10080" w:hanging="360"/>
      </w:pPr>
      <w:rPr>
        <w:rFonts w:ascii="Courier New" w:hAnsi="Courier New" w:cs="Courier New" w:hint="default"/>
      </w:rPr>
    </w:lvl>
    <w:lvl w:ilvl="5">
      <w:start w:val="1"/>
      <w:numFmt w:val="bullet"/>
      <w:lvlText w:val=""/>
      <w:lvlJc w:val="start"/>
      <w:pPr>
        <w:tabs>
          <w:tab w:val="num" w:pos="10800"/>
        </w:tabs>
        <w:ind w:start="10800" w:hanging="360"/>
      </w:pPr>
      <w:rPr>
        <w:rFonts w:ascii="Wingdings" w:hAnsi="Wingdings" w:cs="Wingdings" w:hint="default"/>
      </w:rPr>
    </w:lvl>
    <w:lvl w:ilvl="6">
      <w:start w:val="1"/>
      <w:numFmt w:val="bullet"/>
      <w:lvlText w:val=""/>
      <w:lvlJc w:val="start"/>
      <w:pPr>
        <w:tabs>
          <w:tab w:val="num" w:pos="11520"/>
        </w:tabs>
        <w:ind w:start="11520" w:hanging="360"/>
      </w:pPr>
      <w:rPr>
        <w:rFonts w:ascii="Symbol" w:hAnsi="Symbol" w:cs="Symbol" w:hint="default"/>
      </w:rPr>
    </w:lvl>
    <w:lvl w:ilvl="7">
      <w:start w:val="1"/>
      <w:numFmt w:val="bullet"/>
      <w:lvlText w:val="o"/>
      <w:lvlJc w:val="start"/>
      <w:pPr>
        <w:tabs>
          <w:tab w:val="num" w:pos="12240"/>
        </w:tabs>
        <w:ind w:start="12240" w:hanging="360"/>
      </w:pPr>
      <w:rPr>
        <w:rFonts w:ascii="Courier New" w:hAnsi="Courier New" w:cs="Courier New" w:hint="default"/>
      </w:rPr>
    </w:lvl>
    <w:lvl w:ilvl="8">
      <w:start w:val="1"/>
      <w:numFmt w:val="bullet"/>
      <w:lvlText w:val=""/>
      <w:lvlJc w:val="start"/>
      <w:pPr>
        <w:tabs>
          <w:tab w:val="num" w:pos="12960"/>
        </w:tabs>
        <w:ind w:start="12960" w:hanging="360"/>
      </w:pPr>
      <w:rPr>
        <w:rFonts w:ascii="Wingdings" w:hAnsi="Wingdings" w:cs="Wingdings" w:hint="default"/>
      </w:rPr>
    </w:lvl>
  </w:abstractNum>
  <w:abstractNum w:abstractNumId="15">
    <w:lvl w:ilvl="0">
      <w:start w:val="1"/>
      <w:numFmt w:val="bullet"/>
      <w:lvlText w:val=""/>
      <w:lvlJc w:val="start"/>
      <w:pPr>
        <w:tabs>
          <w:tab w:val="num" w:pos="2160"/>
        </w:tabs>
        <w:ind w:start="2160" w:hanging="360"/>
      </w:pPr>
      <w:rPr>
        <w:rFonts w:ascii="Symbol" w:hAnsi="Symbol" w:cs="Symbol" w:hint="default"/>
      </w:rPr>
    </w:lvl>
  </w:abstractNum>
  <w:abstractNum w:abstractNumId="16">
    <w:lvl w:ilvl="0">
      <w:start w:val="1"/>
      <w:numFmt w:val="bullet"/>
      <w:lvlText w:val=""/>
      <w:lvlJc w:val="start"/>
      <w:pPr>
        <w:tabs>
          <w:tab w:val="num" w:pos="648"/>
        </w:tabs>
        <w:ind w:start="648" w:hanging="360"/>
      </w:pPr>
      <w:rPr>
        <w:rFonts w:ascii="Symbol" w:hAnsi="Symbol" w:cs="Symbol" w:hint="default"/>
      </w:rPr>
    </w:lvl>
  </w:abstractNum>
  <w:abstractNum w:abstractNumId="17">
    <w:lvl w:ilvl="0">
      <w:start w:val="1"/>
      <w:numFmt w:val="bullet"/>
      <w:lvlText w:val=""/>
      <w:lvlJc w:val="start"/>
      <w:pPr>
        <w:tabs>
          <w:tab w:val="num" w:pos="648"/>
        </w:tabs>
        <w:ind w:start="648" w:hanging="360"/>
      </w:pPr>
      <w:rPr>
        <w:rFonts w:ascii="Wingdings 3" w:hAnsi="Wingdings 3" w:cs="Wingdings 3"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952"/>
        </w:tabs>
        <w:ind w:start="2952" w:hanging="432"/>
      </w:pPr>
      <w:rPr>
        <w:rFonts w:ascii="Symbol" w:hAnsi="Symbol" w:cs="Symbol" w:hint="default"/>
        <w:sz w:val="20"/>
        <w:color w:val="000000"/>
      </w:rPr>
    </w:lvl>
    <w:lvl w:ilvl="4">
      <w:start w:val="1"/>
      <w:numFmt w:val="bullet"/>
      <w:lvlText w:val=""/>
      <w:lvlJc w:val="start"/>
      <w:pPr>
        <w:tabs>
          <w:tab w:val="num" w:pos="3672"/>
        </w:tabs>
        <w:ind w:start="3672" w:hanging="432"/>
      </w:pPr>
      <w:rPr>
        <w:rFonts w:ascii="Symbol" w:hAnsi="Symbol" w:cs="Symbol" w:hint="default"/>
        <w:sz w:val="20"/>
        <w:color w:val="000000"/>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720"/>
        </w:tabs>
        <w:ind w:start="720" w:hanging="432"/>
      </w:pPr>
      <w:rPr>
        <w:rFonts w:ascii="Symbol" w:hAnsi="Symbol" w:cs="Symbol" w:hint="default"/>
        <w:sz w:val="20"/>
        <w:color w:val="000000"/>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1080"/>
        </w:tabs>
        <w:ind w:start="1080" w:hanging="360"/>
      </w:pPr>
      <w:rPr>
        <w:rFonts w:ascii="Wingdings 3" w:hAnsi="Wingdings 3" w:cs="Wingdings 3" w:hint="default"/>
      </w:rPr>
    </w:lvl>
    <w:lvl w:ilvl="1">
      <w:start w:val="1"/>
      <w:numFmt w:val="bullet"/>
      <w:lvlText w:val="o"/>
      <w:lvlJc w:val="start"/>
      <w:pPr>
        <w:tabs>
          <w:tab w:val="num" w:pos="1872"/>
        </w:tabs>
        <w:ind w:start="1872" w:hanging="360"/>
      </w:pPr>
      <w:rPr>
        <w:rFonts w:ascii="Courier New" w:hAnsi="Courier New" w:cs="Courier New" w:hint="default"/>
      </w:rPr>
    </w:lvl>
    <w:lvl w:ilvl="2">
      <w:start w:val="1"/>
      <w:numFmt w:val="bullet"/>
      <w:lvlText w:val=""/>
      <w:lvlJc w:val="start"/>
      <w:pPr>
        <w:tabs>
          <w:tab w:val="num" w:pos="2592"/>
        </w:tabs>
        <w:ind w:start="2592" w:hanging="360"/>
      </w:pPr>
      <w:rPr>
        <w:rFonts w:ascii="Wingdings" w:hAnsi="Wingdings" w:cs="Wingdings" w:hint="default"/>
      </w:rPr>
    </w:lvl>
    <w:lvl w:ilvl="3">
      <w:start w:val="1"/>
      <w:numFmt w:val="bullet"/>
      <w:lvlText w:val=""/>
      <w:lvlJc w:val="start"/>
      <w:pPr>
        <w:tabs>
          <w:tab w:val="num" w:pos="3384"/>
        </w:tabs>
        <w:ind w:start="3384" w:hanging="432"/>
      </w:pPr>
      <w:rPr>
        <w:rFonts w:ascii="Symbol" w:hAnsi="Symbol" w:cs="Symbol" w:hint="default"/>
        <w:sz w:val="20"/>
        <w:color w:val="000000"/>
      </w:rPr>
    </w:lvl>
    <w:lvl w:ilvl="4">
      <w:start w:val="1"/>
      <w:numFmt w:val="bullet"/>
      <w:lvlText w:val=""/>
      <w:lvlJc w:val="start"/>
      <w:pPr>
        <w:tabs>
          <w:tab w:val="num" w:pos="4104"/>
        </w:tabs>
        <w:ind w:start="4104" w:hanging="432"/>
      </w:pPr>
      <w:rPr>
        <w:rFonts w:ascii="Symbol" w:hAnsi="Symbol" w:cs="Symbol" w:hint="default"/>
        <w:sz w:val="20"/>
        <w:color w:val="000000"/>
      </w:rPr>
    </w:lvl>
    <w:lvl w:ilvl="5">
      <w:start w:val="1"/>
      <w:numFmt w:val="bullet"/>
      <w:lvlText w:val=""/>
      <w:lvlJc w:val="start"/>
      <w:pPr>
        <w:tabs>
          <w:tab w:val="num" w:pos="4752"/>
        </w:tabs>
        <w:ind w:start="4752" w:hanging="360"/>
      </w:pPr>
      <w:rPr>
        <w:rFonts w:ascii="Wingdings" w:hAnsi="Wingdings" w:cs="Wingdings" w:hint="default"/>
      </w:rPr>
    </w:lvl>
    <w:lvl w:ilvl="6">
      <w:start w:val="1"/>
      <w:numFmt w:val="bullet"/>
      <w:lvlText w:val=""/>
      <w:lvlJc w:val="start"/>
      <w:pPr>
        <w:tabs>
          <w:tab w:val="num" w:pos="5472"/>
        </w:tabs>
        <w:ind w:start="5472" w:hanging="360"/>
      </w:pPr>
      <w:rPr>
        <w:rFonts w:ascii="Symbol" w:hAnsi="Symbol" w:cs="Symbol" w:hint="default"/>
      </w:rPr>
    </w:lvl>
    <w:lvl w:ilvl="7">
      <w:start w:val="1"/>
      <w:numFmt w:val="bullet"/>
      <w:lvlText w:val="o"/>
      <w:lvlJc w:val="start"/>
      <w:pPr>
        <w:tabs>
          <w:tab w:val="num" w:pos="6192"/>
        </w:tabs>
        <w:ind w:start="6192" w:hanging="360"/>
      </w:pPr>
      <w:rPr>
        <w:rFonts w:ascii="Courier New" w:hAnsi="Courier New" w:cs="Courier New" w:hint="default"/>
      </w:rPr>
    </w:lvl>
    <w:lvl w:ilvl="8">
      <w:start w:val="1"/>
      <w:numFmt w:val="bullet"/>
      <w:lvlText w:val=""/>
      <w:lvlJc w:val="start"/>
      <w:pPr>
        <w:tabs>
          <w:tab w:val="num" w:pos="6912"/>
        </w:tabs>
        <w:ind w:start="6912"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1080"/>
        </w:tabs>
        <w:ind w:start="1080" w:hanging="360"/>
      </w:pPr>
      <w:rPr>
        <w:rFonts w:ascii="Wingdings 3" w:hAnsi="Wingdings 3" w:cs="Wingdings 3"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2160"/>
        </w:tabs>
        <w:ind w:start="2160" w:hanging="360"/>
      </w:pPr>
      <w:rPr>
        <w:rFonts w:ascii="Wingdings 3" w:hAnsi="Wingdings 3" w:cs="Wingdings 3" w:hint="default"/>
      </w:rPr>
    </w:lvl>
    <w:lvl w:ilvl="1">
      <w:start w:val="1"/>
      <w:numFmt w:val="bullet"/>
      <w:lvlText w:val=""/>
      <w:lvlJc w:val="start"/>
      <w:pPr>
        <w:tabs>
          <w:tab w:val="num" w:pos="2520"/>
        </w:tabs>
        <w:ind w:start="2520" w:hanging="360"/>
      </w:pPr>
      <w:rPr>
        <w:rFonts w:ascii="Symbol" w:hAnsi="Symbol" w:cs="Symbol" w:hint="default"/>
      </w:rPr>
    </w:lvl>
    <w:lvl w:ilvl="2">
      <w:start w:val="1"/>
      <w:numFmt w:val="bullet"/>
      <w:lvlText w:val=""/>
      <w:lvlJc w:val="start"/>
      <w:pPr>
        <w:tabs>
          <w:tab w:val="num" w:pos="3240"/>
        </w:tabs>
        <w:ind w:start="3240" w:hanging="360"/>
      </w:pPr>
      <w:rPr>
        <w:rFonts w:ascii="Wingdings 3" w:hAnsi="Wingdings 3" w:cs="Wingdings 3"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rFonts w:ascii="Arial" w:hAnsi="Arial" w:cs="Arial"/>
      <w:b/>
      <w:bCs/>
    </w:rPr>
  </w:style>
  <w:style w:type="paragraph" w:styleId="Heading2">
    <w:name w:val="heading 2"/>
    <w:basedOn w:val="Normal"/>
    <w:next w:val="Normal"/>
    <w:qFormat/>
    <w:pPr>
      <w:keepNext w:val="true"/>
      <w:numPr>
        <w:ilvl w:val="1"/>
        <w:numId w:val="1"/>
      </w:numPr>
      <w:spacing w:lineRule="auto" w:line="480"/>
      <w:ind w:hanging="0" w:start="360" w:end="0"/>
      <w:jc w:val="both"/>
      <w:outlineLvl w:val="1"/>
    </w:pPr>
    <w:rPr>
      <w:rFonts w:ascii="Arial" w:hAnsi="Arial" w:cs="Arial"/>
      <w:b/>
      <w:bCs/>
    </w:rPr>
  </w:style>
  <w:style w:type="character" w:styleId="WW8Num1z0">
    <w:name w:val="WW8Num1z0"/>
    <w:qFormat/>
    <w:rPr>
      <w:rFonts w:ascii="Symbol" w:hAnsi="Symbol" w:cs="Symbol"/>
      <w:color w:val="000000"/>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Wingdings 3" w:hAnsi="Wingdings 3" w:cs="Wingdings 3"/>
    </w:rPr>
  </w:style>
  <w:style w:type="character" w:styleId="WW8Num3z7">
    <w:name w:val="WW8Num3z7"/>
    <w:qFormat/>
    <w:rPr>
      <w:rFonts w:ascii="Courier New" w:hAnsi="Courier New" w:cs="Courier New"/>
    </w:rPr>
  </w:style>
  <w:style w:type="character" w:styleId="WW8Num3z8">
    <w:name w:val="WW8Num3z8"/>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color w:val="000000"/>
      <w:sz w:val="20"/>
    </w:rPr>
  </w:style>
  <w:style w:type="character" w:styleId="WW8Num5z6">
    <w:name w:val="WW8Num5z6"/>
    <w:qFormat/>
    <w:rPr>
      <w:rFonts w:ascii="Symbol" w:hAnsi="Symbol" w:cs="Symbol"/>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3" w:hAnsi="Wingdings 3" w:cs="Wingdings 3"/>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2">
    <w:name w:val="WW8Num18z2"/>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rFonts w:ascii="Wingdings 3" w:hAnsi="Wingdings 3" w:cs="Wingdings 3"/>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color w:val="000000"/>
      <w:sz w:val="2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6">
    <w:name w:val="WW8Num20z6"/>
    <w:qFormat/>
    <w:rPr>
      <w:rFonts w:ascii="Symbol" w:hAnsi="Symbol" w:cs="Symbol"/>
    </w:rPr>
  </w:style>
  <w:style w:type="character" w:styleId="WW8Num21z0">
    <w:name w:val="WW8Num21z0"/>
    <w:qFormat/>
    <w:rPr>
      <w:rFonts w:ascii="Wingdings 3" w:hAnsi="Wingdings 3" w:cs="Wingdings 3"/>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color w:val="000000"/>
      <w:sz w:val="20"/>
    </w:rPr>
  </w:style>
  <w:style w:type="character" w:styleId="WW8Num21z6">
    <w:name w:val="WW8Num21z6"/>
    <w:qFormat/>
    <w:rPr>
      <w:rFonts w:ascii="Symbol" w:hAnsi="Symbol" w:cs="Symbol"/>
    </w:rPr>
  </w:style>
  <w:style w:type="character" w:styleId="WW8Num22z0">
    <w:name w:val="WW8Num22z0"/>
    <w:qFormat/>
    <w:rPr>
      <w:rFonts w:ascii="Wingdings 3" w:hAnsi="Wingdings 3" w:cs="Wingdings 3"/>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color w:val="000000"/>
      <w:sz w:val="20"/>
    </w:rPr>
  </w:style>
  <w:style w:type="character" w:styleId="WW8Num22z6">
    <w:name w:val="WW8Num22z6"/>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3" w:hAnsi="Wingdings 3" w:cs="Wingdings 3"/>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color w:val="000000"/>
      <w:sz w:val="20"/>
    </w:rPr>
  </w:style>
  <w:style w:type="character" w:styleId="WW8Num26z6">
    <w:name w:val="WW8Num26z6"/>
    <w:qFormat/>
    <w:rPr>
      <w:rFonts w:ascii="Symbol" w:hAnsi="Symbol" w:cs="Symbol"/>
    </w:rPr>
  </w:style>
  <w:style w:type="character" w:styleId="WW8Num27z0">
    <w:name w:val="WW8Num27z0"/>
    <w:qFormat/>
    <w:rPr/>
  </w:style>
  <w:style w:type="character" w:styleId="WW8Num27z1">
    <w:name w:val="WW8Num27z1"/>
    <w:qFormat/>
    <w:rPr>
      <w:rFonts w:ascii="Symbol" w:hAnsi="Symbol" w:cs="Symbol"/>
    </w:rPr>
  </w:style>
  <w:style w:type="character" w:styleId="WW8Num27z2">
    <w:name w:val="WW8Num27z2"/>
    <w:qFormat/>
    <w:rPr>
      <w:rFonts w:ascii="Wingdings 3" w:hAnsi="Wingdings 3" w:cs="Wingdings 3"/>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1z2">
    <w:name w:val="WW8Num31z2"/>
    <w:qFormat/>
    <w:rPr>
      <w:rFonts w:ascii="Wingdings" w:hAnsi="Wingdings" w:cs="Wingdings"/>
    </w:rPr>
  </w:style>
  <w:style w:type="character" w:styleId="WW8Num31z4">
    <w:name w:val="WW8Num31z4"/>
    <w:qFormat/>
    <w:rPr>
      <w:rFonts w:ascii="Courier New" w:hAnsi="Courier New" w:cs="Courier New"/>
    </w:rPr>
  </w:style>
  <w:style w:type="character" w:styleId="WW8Num32z0">
    <w:name w:val="WW8Num32z0"/>
    <w:qFormat/>
    <w:rPr>
      <w:rFonts w:ascii="Wingdings 3" w:hAnsi="Wingdings 3" w:cs="Wingdings 3"/>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color w:val="000000"/>
      <w:sz w:val="20"/>
    </w:rPr>
  </w:style>
  <w:style w:type="character" w:styleId="WW8Num32z6">
    <w:name w:val="WW8Num32z6"/>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color w:val="000000"/>
      <w:sz w:val="2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Wingdings 3" w:hAnsi="Wingdings 3" w:cs="Wingdings 3"/>
    </w:rPr>
  </w:style>
  <w:style w:type="character" w:styleId="WW8Num35z6">
    <w:name w:val="WW8Num35z6"/>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Wingdings 3" w:hAnsi="Wingdings 3" w:cs="Wingdings 3"/>
    </w:rPr>
  </w:style>
  <w:style w:type="character" w:styleId="WW8Num38z1">
    <w:name w:val="WW8Num38z1"/>
    <w:qFormat/>
    <w:rPr>
      <w:rFonts w:ascii="Symbol" w:hAnsi="Symbol" w:cs="Symbol"/>
    </w:rPr>
  </w:style>
  <w:style w:type="character" w:styleId="WW8Num38z2">
    <w:name w:val="WW8Num38z2"/>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rFonts w:ascii="Symbol" w:hAnsi="Symbol" w:cs="Symbol"/>
    </w:rPr>
  </w:style>
  <w:style w:type="character" w:styleId="WW8Num39z2">
    <w:name w:val="WW8Num39z2"/>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color w:val="000000"/>
      <w:sz w:val="2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Wingdings 3" w:hAnsi="Wingdings 3" w:cs="Wingdings 3"/>
    </w:rPr>
  </w:style>
  <w:style w:type="character" w:styleId="WW8Num40z6">
    <w:name w:val="WW8Num40z6"/>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style>
  <w:style w:type="character" w:styleId="WW8Num44z0">
    <w:name w:val="WW8Num44z0"/>
    <w:qFormat/>
    <w:rPr>
      <w:rFonts w:ascii="Wingdings 3" w:hAnsi="Wingdings 3" w:cs="Wingdings 3"/>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color w:val="000000"/>
      <w:sz w:val="20"/>
    </w:rPr>
  </w:style>
  <w:style w:type="character" w:styleId="WW8Num44z6">
    <w:name w:val="WW8Num44z6"/>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color w:val="000000"/>
      <w:sz w:val="2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Wingdings 3" w:hAnsi="Wingdings 3" w:cs="Wingdings 3"/>
    </w:rPr>
  </w:style>
  <w:style w:type="character" w:styleId="WW8Num47z6">
    <w:name w:val="WW8Num47z6"/>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color w:val="000000"/>
      <w:sz w:val="2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6">
    <w:name w:val="WW8Num49z6"/>
    <w:qFormat/>
    <w:rPr>
      <w:rFonts w:ascii="Symbol" w:hAnsi="Symbol" w:cs="Symbol"/>
    </w:rPr>
  </w:style>
  <w:style w:type="character" w:styleId="WW8Num50z0">
    <w:name w:val="WW8Num50z0"/>
    <w:qFormat/>
    <w:rPr>
      <w:rFonts w:ascii="Wingdings 3" w:hAnsi="Wingdings 3" w:cs="Wingdings 3"/>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color w:val="000000"/>
      <w:sz w:val="20"/>
    </w:rPr>
  </w:style>
  <w:style w:type="character" w:styleId="WW8Num50z6">
    <w:name w:val="WW8Num50z6"/>
    <w:qFormat/>
    <w:rPr>
      <w:rFonts w:ascii="Symbol" w:hAnsi="Symbol" w:cs="Symbol"/>
    </w:rPr>
  </w:style>
  <w:style w:type="character" w:styleId="WW8Num51z0">
    <w:name w:val="WW8Num51z0"/>
    <w:qFormat/>
    <w:rPr>
      <w:rFonts w:ascii="Symbol" w:hAnsi="Symbol" w:cs="Symbol"/>
      <w:color w:val="000000"/>
      <w:sz w:val="2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Wingdings 3" w:hAnsi="Wingdings 3" w:cs="Wingdings 3"/>
    </w:rPr>
  </w:style>
  <w:style w:type="character" w:styleId="WW8Num51z6">
    <w:name w:val="WW8Num51z6"/>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Wingdings 3" w:hAnsi="Wingdings 3" w:cs="Wingdings 3"/>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color w:val="000000"/>
      <w:sz w:val="20"/>
    </w:rPr>
  </w:style>
  <w:style w:type="character" w:styleId="WW8Num53z6">
    <w:name w:val="WW8Num53z6"/>
    <w:qFormat/>
    <w:rPr>
      <w:rFonts w:ascii="Symbol" w:hAnsi="Symbol" w:cs="Symbol"/>
    </w:rPr>
  </w:style>
  <w:style w:type="character" w:styleId="WW8Num54z0">
    <w:name w:val="WW8Num54z0"/>
    <w:qFormat/>
    <w:rPr>
      <w:rFonts w:ascii="Wingdings 3" w:hAnsi="Wingdings 3" w:cs="Wingdings 3"/>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color w:val="000000"/>
      <w:sz w:val="20"/>
    </w:rPr>
  </w:style>
  <w:style w:type="character" w:styleId="WW8Num54z6">
    <w:name w:val="WW8Num54z6"/>
    <w:qFormat/>
    <w:rPr>
      <w:rFonts w:ascii="Symbol" w:hAnsi="Symbol" w:cs="Symbol"/>
    </w:rPr>
  </w:style>
  <w:style w:type="character" w:styleId="WW8Num55z0">
    <w:name w:val="WW8Num55z0"/>
    <w:qFormat/>
    <w:rPr>
      <w:rFonts w:ascii="Symbol" w:hAnsi="Symbol" w:cs="Symbol"/>
    </w:rPr>
  </w:style>
  <w:style w:type="character" w:styleId="WW8Num55z2">
    <w:name w:val="WW8Num55z2"/>
    <w:qFormat/>
    <w:rPr>
      <w:rFonts w:ascii="Wingdings" w:hAnsi="Wingdings" w:cs="Wingdings"/>
    </w:rPr>
  </w:style>
  <w:style w:type="character" w:styleId="WW8Num55z4">
    <w:name w:val="WW8Num55z4"/>
    <w:qFormat/>
    <w:rPr>
      <w:rFonts w:ascii="Courier New" w:hAnsi="Courier New" w:cs="Courier New"/>
    </w:rPr>
  </w:style>
  <w:style w:type="character" w:styleId="WW8Num56z0">
    <w:name w:val="WW8Num56z0"/>
    <w:qFormat/>
    <w:rPr>
      <w:rFonts w:ascii="Wingdings 3" w:hAnsi="Wingdings 3" w:cs="Wingdings 3"/>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color w:val="000000"/>
      <w:sz w:val="20"/>
    </w:rPr>
  </w:style>
  <w:style w:type="character" w:styleId="WW8Num56z6">
    <w:name w:val="WW8Num56z6"/>
    <w:qFormat/>
    <w:rPr>
      <w:rFonts w:ascii="Symbol" w:hAnsi="Symbol" w:cs="Symbol"/>
    </w:rPr>
  </w:style>
  <w:style w:type="character" w:styleId="WW8Num57z0">
    <w:name w:val="WW8Num57z0"/>
    <w:qFormat/>
    <w:rPr>
      <w:rFonts w:ascii="Symbol" w:hAnsi="Symbol" w:cs="Symbol"/>
    </w:rPr>
  </w:style>
  <w:style w:type="character" w:styleId="WW8Num57z2">
    <w:name w:val="WW8Num57z2"/>
    <w:qFormat/>
    <w:rPr>
      <w:rFonts w:ascii="Wingdings" w:hAnsi="Wingdings" w:cs="Wingdings"/>
    </w:rPr>
  </w:style>
  <w:style w:type="character" w:styleId="WW8Num57z4">
    <w:name w:val="WW8Num57z4"/>
    <w:qFormat/>
    <w:rPr>
      <w:rFonts w:ascii="Courier New" w:hAnsi="Courier New" w:cs="Courier New"/>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Wingdings 3" w:hAnsi="Wingdings 3" w:cs="Wingdings 3"/>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color w:val="000000"/>
      <w:sz w:val="20"/>
    </w:rPr>
  </w:style>
  <w:style w:type="character" w:styleId="WW8Num61z6">
    <w:name w:val="WW8Num61z6"/>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3" w:hAnsi="Wingdings 3" w:cs="Wingdings 3"/>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color w:val="000000"/>
      <w:sz w:val="20"/>
    </w:rPr>
  </w:style>
  <w:style w:type="character" w:styleId="WW8Num63z6">
    <w:name w:val="WW8Num63z6"/>
    <w:qFormat/>
    <w:rPr>
      <w:rFonts w:ascii="Symbol" w:hAnsi="Symbol" w:cs="Symbol"/>
    </w:rPr>
  </w:style>
  <w:style w:type="character" w:styleId="WW8Num64z0">
    <w:name w:val="WW8Num64z0"/>
    <w:qFormat/>
    <w:rPr>
      <w:rFonts w:ascii="Symbol" w:hAnsi="Symbol" w:cs="Symbol"/>
    </w:rPr>
  </w:style>
  <w:style w:type="character" w:styleId="WW8Num64z2">
    <w:name w:val="WW8Num64z2"/>
    <w:qFormat/>
    <w:rPr>
      <w:rFonts w:ascii="Wingdings" w:hAnsi="Wingdings" w:cs="Wingdings"/>
    </w:rPr>
  </w:style>
  <w:style w:type="character" w:styleId="WW8Num64z4">
    <w:name w:val="WW8Num64z4"/>
    <w:qFormat/>
    <w:rPr>
      <w:rFonts w:ascii="Courier New" w:hAnsi="Courier New" w:cs="Courier New"/>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6z4">
    <w:name w:val="WW8Num66z4"/>
    <w:qFormat/>
    <w:rPr>
      <w:rFonts w:ascii="Courier New" w:hAnsi="Courier New" w:cs="Courier New"/>
    </w:rPr>
  </w:style>
  <w:style w:type="character" w:styleId="WW8Num67z0">
    <w:name w:val="WW8Num67z0"/>
    <w:qFormat/>
    <w:rPr>
      <w:rFonts w:ascii="Wingdings 3" w:hAnsi="Wingdings 3" w:cs="Wingdings 3"/>
    </w:rPr>
  </w:style>
  <w:style w:type="character" w:styleId="WW8Num67z1">
    <w:name w:val="WW8Num67z1"/>
    <w:qFormat/>
    <w:rPr>
      <w:rFonts w:ascii="Symbol" w:hAnsi="Symbol" w:cs="Symbol"/>
    </w:rPr>
  </w:style>
  <w:style w:type="character" w:styleId="WW8Num67z4">
    <w:name w:val="WW8Num67z4"/>
    <w:qFormat/>
    <w:rPr>
      <w:rFonts w:ascii="Courier New" w:hAnsi="Courier New" w:cs="Courier New"/>
    </w:rPr>
  </w:style>
  <w:style w:type="character" w:styleId="WW8Num67z5">
    <w:name w:val="WW8Num67z5"/>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2001-03-22T17:34:00Z</dcterms:created>
  <dc:creator>lhuculia</dc:creator>
  <dc:description/>
  <dc:language>en-CA</dc:language>
  <cp:lastModifiedBy>lassaf</cp:lastModifiedBy>
  <cp:lastPrinted>2001-03-27T15:56:00Z</cp:lastPrinted>
  <dcterms:modified xsi:type="dcterms:W3CDTF">2001-03-27T18:40:00Z</dcterms:modified>
  <cp:revision>178</cp:revision>
  <dc:subject/>
  <dc:title>Market Opening</dc:title>
</cp:coreProperties>
</file>