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center"/>
        <w:rPr/>
      </w:pPr>
      <w:r>
        <w:rPr>
          <w:b/>
          <w:u w:val="single"/>
        </w:rPr>
        <w:t xml:space="preserve">SPECIAL WARRANTY </w:t>
      </w:r>
      <w:r>
        <w:rPr>
          <w:rFonts w:cs="Times New Roman Bold" w:ascii="Times New Roman Bold" w:hAnsi="Times New Roman Bold"/>
          <w:b/>
          <w:caps/>
          <w:u w:val="single"/>
        </w:rPr>
        <w:t>DEED with vendor's lien</w:t>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2880" w:start="2880" w:end="0"/>
        <w:jc w:val="both"/>
        <w:rPr/>
      </w:pPr>
      <w:r>
        <w:rPr/>
        <w:t>STATE OF TEXAS</w:t>
        <w:tab/>
        <w:tab/>
        <w:tab/>
      </w:r>
      <w:r>
        <w:rPr>
          <w:rFonts w:cs="WP TypographicSymbols" w:ascii="WP TypographicSymbols" w:hAnsi="WP TypographicSymbols"/>
        </w:rPr>
        <w:t>'</w:t>
      </w:r>
    </w:p>
    <w:p>
      <w:pPr>
        <w:pStyle w:val="Normal"/>
        <w:widowControl/>
        <w:ind w:firstLine="720" w:start="2880" w:end="0"/>
        <w:jc w:val="both"/>
        <w:rPr/>
      </w:pPr>
      <w:r>
        <w:rPr>
          <w:rFonts w:cs="WP TypographicSymbols" w:ascii="WP TypographicSymbols" w:hAnsi="WP TypographicSymbols"/>
        </w:rPr>
        <w:t>'</w:t>
      </w:r>
      <w:r>
        <w:rPr/>
        <w:t xml:space="preserve">  KNOW ALL PERSONS BY THESE PRESENTS THAT:</w:t>
      </w:r>
    </w:p>
    <w:p>
      <w:pPr>
        <w:pStyle w:val="Normal"/>
        <w:widowControl/>
        <w:tabs>
          <w:tab w:val="clear" w:pos="720"/>
          <w:tab w:val="left" w:pos="-1440" w:leader="none"/>
        </w:tabs>
        <w:jc w:val="both"/>
        <w:rPr/>
      </w:pPr>
      <w:r>
        <w:rPr/>
        <w:t>COUNTY OF WILLIAMSON</w:t>
        <w:tab/>
      </w:r>
      <w:r>
        <w:rPr>
          <w:rFonts w:cs="WP TypographicSymbols" w:ascii="WP TypographicSymbols" w:hAnsi="WP TypographicSymbols"/>
        </w:rPr>
        <w:t>'</w:t>
      </w:r>
    </w:p>
    <w:p>
      <w:pPr>
        <w:pStyle w:val="Normal"/>
        <w:widowControl/>
        <w:jc w:val="both"/>
        <w:rPr/>
      </w:pPr>
      <w:r>
        <w:rPr/>
      </w:r>
    </w:p>
    <w:p>
      <w:pPr>
        <w:pStyle w:val="Normal"/>
        <w:widowControl/>
        <w:jc w:val="both"/>
        <w:rPr/>
      </w:pPr>
      <w:r>
        <w:rPr/>
      </w:r>
    </w:p>
    <w:p>
      <w:pPr>
        <w:pStyle w:val="Normal"/>
        <w:jc w:val="both"/>
        <w:rPr/>
      </w:pPr>
      <w:r>
        <w:rPr>
          <w:b/>
        </w:rPr>
        <w:tab/>
        <w:t>PHILLIP K. ALLEN</w:t>
      </w:r>
      <w:r>
        <w:rPr/>
        <w:t xml:space="preserve">, individually ("Grantor"), owning, occupying and claiming other property as his homestead, for and in consideration of the sum of TEN AND NO/100 DOLLARS ($10.00), and other good and valuable consideration paid by </w:t>
      </w:r>
      <w:r>
        <w:rPr>
          <w:b/>
        </w:rPr>
        <w:t>AGAPE LEANDER HOUSING, INC.</w:t>
      </w:r>
      <w:r>
        <w:rPr/>
        <w:t xml:space="preserve">, a Texas nonprofit corporation ("Grantee"), the receipt and sufficiency of which are hereby acknowledged and confessed, subject to the exceptions, liens, encumbrances, terms and provisions hereinafter set forth and described, and in further consideration of a Loan Agreement dated as of July 1, 2001 by and between Grantee and Capital Area Housing Finance Corporation (the "Lender") relating to the issuance of the Lender's $21,000,000 Multifamily Housing Revenue Bonds (Lakeline Apartments Project) Series 2001A and $550,000 Multifamily Housing Revenue Bonds (Lakeline Apartments Project) Series 2001B (collectively, the "Bonds"), said Bonds being secured by a Deed of Trust and Security Agreement (with Power of Sale) from Grantee to Melissa A Scott for the benefit of Wells Fargo Bank Texas, N.A. dated as of July 1, 2001 (the "Deed of Trust"), has GRANTED, BARGAINED, SOLD and CONVEYED, and by these presents does hereby GRANT, BARGAIN, SELL and CONVEY, unto Grantee all of that certain lot, tract or parcel of land situated in Williamson County, Texas, and being more particularly described in </w:t>
      </w:r>
      <w:r>
        <w:rPr>
          <w:b/>
          <w:u w:val="single"/>
        </w:rPr>
        <w:t>Exhibit "A"</w:t>
      </w:r>
      <w:r>
        <w:rPr/>
        <w:t xml:space="preserve"> attached hereto and incorporated herein by reference for all purposes (the "Land");</w:t>
      </w:r>
    </w:p>
    <w:p>
      <w:pPr>
        <w:pStyle w:val="Normal"/>
        <w:widowControl/>
        <w:jc w:val="both"/>
        <w:rPr/>
      </w:pPr>
      <w:r>
        <w:rPr/>
      </w:r>
    </w:p>
    <w:p>
      <w:pPr>
        <w:pStyle w:val="Normal"/>
        <w:widowControl/>
        <w:ind w:firstLine="720" w:end="0"/>
        <w:jc w:val="both"/>
        <w:rPr/>
      </w:pPr>
      <w:r>
        <w:rPr/>
        <w:t>TOGETHER WITH, all and singular, (i) the rights, benefits, privileges, easements, tenements, hereditaments, appurtenances, minerals and interests thereon or in anywise appertaining thereto and with all improvements located thereon and (ii) Grantor's interest in all licenses, permits and utilities relating to the Property (said Land, rights, benefits, privileges, easements, tenements, hereditaments, appurtenances, minerals, improvements, licenses, permits, utilities and interests being hereinafter referred to as the "Property").</w:t>
      </w:r>
    </w:p>
    <w:p>
      <w:pPr>
        <w:pStyle w:val="Normal"/>
        <w:widowControl/>
        <w:jc w:val="both"/>
        <w:rPr/>
      </w:pPr>
      <w:r>
        <w:rPr/>
      </w:r>
    </w:p>
    <w:p>
      <w:pPr>
        <w:pStyle w:val="Normal"/>
        <w:widowControl/>
        <w:ind w:firstLine="720" w:end="0"/>
        <w:jc w:val="both"/>
        <w:rPr/>
      </w:pPr>
      <w:r>
        <w:rPr/>
        <w:t>For the same consideration recited above, Grantor hereby BARGAINS, SELLS and TRANSFERS, all interest, if any, of Grantor in (i) strips or gores, if any, between the Property and abutting or immediately adjacent properties, and (ii) any land lying in or under the bed of any street, alley, road or right</w:t>
        <w:noBreakHyphen/>
        <w:t>of</w:t>
        <w:noBreakHyphen/>
        <w:t>way, opened or proposed, abutting or immediately adjacent to the Property.</w:t>
      </w:r>
    </w:p>
    <w:p>
      <w:pPr>
        <w:pStyle w:val="Normal"/>
        <w:widowControl/>
        <w:jc w:val="both"/>
        <w:rPr/>
      </w:pPr>
      <w:r>
        <w:rPr/>
      </w:r>
    </w:p>
    <w:p>
      <w:pPr>
        <w:pStyle w:val="Normal"/>
        <w:widowControl/>
        <w:ind w:firstLine="720" w:end="0"/>
        <w:jc w:val="both"/>
        <w:rPr/>
      </w:pPr>
      <w:r>
        <w:rPr/>
        <w:t xml:space="preserve">This conveyance is made subject and subordinate to the encumbrances and exceptions ("Permitted Exceptions") described in </w:t>
      </w:r>
      <w:r>
        <w:rPr>
          <w:b/>
          <w:u w:val="single"/>
        </w:rPr>
        <w:t>Exhibit "B"</w:t>
      </w:r>
      <w:r>
        <w:rPr/>
        <w:t xml:space="preserve"> attached hereto and incorporated herein by reference for all purposes, but only to the extent they affect or relate to the Property.</w:t>
      </w:r>
    </w:p>
    <w:p>
      <w:pPr>
        <w:pStyle w:val="Normal"/>
        <w:widowControl/>
        <w:jc w:val="both"/>
        <w:rPr/>
      </w:pPr>
      <w:r>
        <w:rPr/>
      </w:r>
    </w:p>
    <w:p>
      <w:pPr>
        <w:pStyle w:val="Normal"/>
        <w:widowControl/>
        <w:ind w:firstLine="720" w:end="0"/>
        <w:jc w:val="both"/>
        <w:rPr/>
      </w:pPr>
      <w:r>
        <w:rPr/>
        <w:t>TO HAVE AND TO HOLD the Property, subject to the Permitted Exceptions as aforesaid, unto Grantee, and Grantee's successors and assigns, forever; and Grantor does hereby bind Grantor, and Grantor's successors and assigns, to WARRANT and FOREVER DEFEND, all and singular, the Property, subject to the Permitted Exceptions, unto Grantee, and Grantee's successors and assigns, against every person whomsoever lawfully claiming or to claim the same or any part thereof by, through or under Grantor, but not otherwise, but with full substitution and subrogation of Grantee in and to all covenants of warranty by parties other than Grantor heretofore given or made with respect to the rights, titles, and interests herein conveyed or any part thereof.</w:t>
      </w:r>
    </w:p>
    <w:p>
      <w:pPr>
        <w:pStyle w:val="Normal"/>
        <w:widowControl/>
        <w:ind w:firstLine="720" w:end="0"/>
        <w:jc w:val="both"/>
        <w:rPr/>
      </w:pPr>
      <w:r>
        <w:rPr/>
      </w:r>
    </w:p>
    <w:p>
      <w:pPr>
        <w:pStyle w:val="Normal"/>
        <w:jc w:val="both"/>
        <w:rPr/>
      </w:pPr>
      <w:r>
        <w:rPr/>
        <w:tab/>
        <w:t>It is expressly agreed and stipulated that a vendor's lien and the superior title are retained against the Property until the Bonds, and all interest thereof, are fully paid according to their face and tenor, effect and reading, when the Deed shall become absolute; provided, however, that Grantor or its successors-in-interest shall not be entitled to enforce said vendor's lien or assert said superior title unless Grantor, or its successor-in-interest, is also at such time entitled to exercise its rights of foreclosure under the terms of the Deed of Trust which secures payment of the Bonds.  The vendor's lien and the superior title to the Property are retained herein for the benefit of Lender and are hereby TRANSFERRED and ASSIGNED to Lender who, at the instance and request of Grantee herein, advanced a portion of the purchase price for the Property, as evidenced by the Bonds.</w:t>
      </w:r>
    </w:p>
    <w:p>
      <w:pPr>
        <w:pStyle w:val="Normal"/>
        <w:widowControl/>
        <w:ind w:firstLine="720" w:end="0"/>
        <w:jc w:val="both"/>
        <w:rPr/>
      </w:pPr>
      <w:r>
        <w:rPr/>
      </w:r>
    </w:p>
    <w:p>
      <w:pPr>
        <w:pStyle w:val="Normal"/>
        <w:widowControl/>
        <w:ind w:firstLine="720" w:end="0"/>
        <w:jc w:val="both"/>
        <w:rPr/>
      </w:pPr>
      <w:r>
        <w:rPr/>
      </w:r>
    </w:p>
    <w:p>
      <w:pPr>
        <w:pStyle w:val="Normal"/>
        <w:widowControl/>
        <w:ind w:firstLine="720" w:end="0"/>
        <w:jc w:val="both"/>
        <w:rPr/>
      </w:pPr>
      <w:r>
        <w:rPr/>
        <w:t>EXECUTED as of the _______ day of August, 2001.</w:t>
      </w:r>
    </w:p>
    <w:p>
      <w:pPr>
        <w:pStyle w:val="Normal"/>
        <w:widowControl/>
        <w:jc w:val="both"/>
        <w:rPr/>
      </w:pPr>
      <w:r>
        <w:rPr/>
      </w:r>
    </w:p>
    <w:p>
      <w:pPr>
        <w:pStyle w:val="Normal"/>
        <w:widowControl/>
        <w:jc w:val="both"/>
        <w:rPr/>
      </w:pPr>
      <w:r>
        <w:rPr/>
      </w:r>
    </w:p>
    <w:p>
      <w:pPr>
        <w:pStyle w:val="Normal"/>
        <w:widowControl/>
        <w:tabs>
          <w:tab w:val="clear" w:pos="720"/>
          <w:tab w:val="left" w:pos="-1440" w:leader="none"/>
          <w:tab w:val="left" w:pos="4770" w:leader="none"/>
          <w:tab w:val="left" w:pos="5130" w:leader="none"/>
          <w:tab w:val="left" w:pos="5670" w:leader="none"/>
          <w:tab w:val="left" w:pos="6030" w:leader="none"/>
        </w:tabs>
        <w:ind w:start="4320" w:end="0"/>
        <w:jc w:val="both"/>
        <w:rPr/>
      </w:pPr>
      <w:r>
        <w:rPr>
          <w:b/>
          <w:u w:val="single"/>
        </w:rPr>
        <w:t>GRANTOR</w:t>
      </w:r>
      <w:r>
        <w:rPr>
          <w:b/>
        </w:rPr>
        <w:t>:</w:t>
      </w:r>
    </w:p>
    <w:p>
      <w:pPr>
        <w:pStyle w:val="Normal"/>
        <w:widowControl/>
        <w:tabs>
          <w:tab w:val="clear" w:pos="720"/>
          <w:tab w:val="left" w:pos="-1440" w:leader="none"/>
          <w:tab w:val="left" w:pos="4770" w:leader="none"/>
          <w:tab w:val="left" w:pos="5130" w:leader="none"/>
          <w:tab w:val="left" w:pos="5670" w:leader="none"/>
          <w:tab w:val="left" w:pos="6030" w:leader="none"/>
        </w:tabs>
        <w:ind w:start="4320" w:end="0"/>
        <w:jc w:val="both"/>
        <w:rPr/>
      </w:pPr>
      <w:r>
        <w:rPr/>
      </w:r>
    </w:p>
    <w:p>
      <w:pPr>
        <w:pStyle w:val="Normal"/>
        <w:widowControl/>
        <w:tabs>
          <w:tab w:val="clear" w:pos="720"/>
          <w:tab w:val="left" w:pos="-1440" w:leader="none"/>
          <w:tab w:val="left" w:pos="4770" w:leader="none"/>
          <w:tab w:val="left" w:pos="5130" w:leader="none"/>
          <w:tab w:val="left" w:pos="5670" w:leader="none"/>
          <w:tab w:val="left" w:pos="6030" w:leader="none"/>
        </w:tabs>
        <w:ind w:start="4320" w:end="0"/>
        <w:jc w:val="both"/>
        <w:rPr/>
      </w:pPr>
      <w:r>
        <w:rPr/>
      </w:r>
    </w:p>
    <w:p>
      <w:pPr>
        <w:pStyle w:val="Normal"/>
        <w:widowControl/>
        <w:tabs>
          <w:tab w:val="clear" w:pos="720"/>
          <w:tab w:val="left" w:pos="-1440" w:leader="none"/>
          <w:tab w:val="left" w:pos="4770" w:leader="none"/>
          <w:tab w:val="left" w:pos="5130" w:leader="none"/>
          <w:tab w:val="left" w:pos="5670" w:leader="none"/>
          <w:tab w:val="left" w:pos="6030" w:leader="none"/>
        </w:tabs>
        <w:ind w:start="4320" w:end="0"/>
        <w:jc w:val="both"/>
        <w:rPr>
          <w:b/>
        </w:rPr>
      </w:pPr>
      <w:r>
        <w:rPr>
          <w:u w:val="single"/>
        </w:rPr>
        <w:tab/>
        <w:tab/>
        <w:tab/>
        <w:tab/>
        <w:tab/>
        <w:tab/>
        <w:tab/>
        <w:tab/>
        <w:tab/>
      </w:r>
    </w:p>
    <w:p>
      <w:pPr>
        <w:pStyle w:val="Normal"/>
        <w:widowControl/>
        <w:tabs>
          <w:tab w:val="clear" w:pos="720"/>
          <w:tab w:val="left" w:pos="-1440" w:leader="none"/>
          <w:tab w:val="left" w:pos="4770" w:leader="none"/>
          <w:tab w:val="left" w:pos="5130" w:leader="none"/>
          <w:tab w:val="left" w:pos="5670" w:leader="none"/>
          <w:tab w:val="left" w:pos="6030" w:leader="none"/>
        </w:tabs>
        <w:ind w:start="4320" w:end="0"/>
        <w:jc w:val="both"/>
        <w:rPr/>
      </w:pPr>
      <w:r>
        <w:rPr>
          <w:b/>
        </w:rPr>
        <w:t>PHILLIP K. ALLEN</w:t>
      </w:r>
      <w:r>
        <w:rPr/>
        <w:t>, individually</w:t>
      </w:r>
    </w:p>
    <w:p>
      <w:pPr>
        <w:pStyle w:val="Normal"/>
        <w:widowControl/>
        <w:tabs>
          <w:tab w:val="clear" w:pos="720"/>
          <w:tab w:val="left" w:pos="-1440" w:leader="none"/>
          <w:tab w:val="left" w:pos="4770" w:leader="none"/>
          <w:tab w:val="left" w:pos="5130" w:leader="none"/>
          <w:tab w:val="left" w:pos="5670" w:leader="none"/>
          <w:tab w:val="left" w:pos="6030" w:leader="none"/>
        </w:tabs>
        <w:ind w:start="5670" w:end="0"/>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STATE OF TEXAS</w:t>
        <w:tab/>
        <w:tab/>
        <w:tab/>
        <w:tab/>
      </w:r>
      <w:r>
        <w:rPr>
          <w:rFonts w:cs="WP TypographicSymbols" w:ascii="WP TypographicSymbols" w:hAnsi="WP TypographicSymbols"/>
        </w:rPr>
        <w:t>'</w:t>
      </w:r>
    </w:p>
    <w:p>
      <w:pPr>
        <w:pStyle w:val="Normal"/>
        <w:widowControl/>
        <w:tabs>
          <w:tab w:val="clear" w:pos="720"/>
          <w:tab w:val="left" w:pos="-1440" w:leader="none"/>
        </w:tabs>
        <w:ind w:firstLine="2880" w:end="0"/>
        <w:jc w:val="both"/>
        <w:rPr>
          <w:rFonts w:ascii="WP TypographicSymbols" w:hAnsi="WP TypographicSymbols" w:cs="WP TypographicSymbols"/>
        </w:rPr>
      </w:pPr>
      <w:r>
        <w:rPr>
          <w:rFonts w:cs="WP TypographicSymbols" w:ascii="WP TypographicSymbols" w:hAnsi="WP TypographicSymbols"/>
        </w:rPr>
        <w:tab/>
        <w:tab/>
        <w:t>'</w:t>
      </w:r>
    </w:p>
    <w:p>
      <w:pPr>
        <w:pStyle w:val="Normal"/>
        <w:widowControl/>
        <w:tabs>
          <w:tab w:val="clear" w:pos="720"/>
          <w:tab w:val="left" w:pos="-1440" w:leader="none"/>
        </w:tabs>
        <w:jc w:val="both"/>
        <w:rPr/>
      </w:pPr>
      <w:r>
        <w:rPr/>
        <w:t xml:space="preserve">COUNTY OF </w:t>
      </w:r>
      <w:r>
        <w:rPr>
          <w:u w:val="single"/>
        </w:rPr>
        <w:tab/>
        <w:tab/>
        <w:tab/>
        <w:tab/>
      </w:r>
      <w:r>
        <w:rPr/>
        <w:tab/>
      </w:r>
      <w:r>
        <w:rPr>
          <w:rFonts w:cs="WP TypographicSymbols" w:ascii="WP TypographicSymbols" w:hAnsi="WP TypographicSymbols"/>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This instrument was acknowledged before me on the _____ day of _______________, 2001, by PHILLIP K. ALLEN, individually.</w:t>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2160" w:start="2160" w:end="0"/>
        <w:jc w:val="both"/>
        <w:rPr>
          <w:u w:val="single"/>
        </w:rPr>
      </w:pPr>
      <w:r>
        <w:rPr>
          <w:u w:val="single"/>
        </w:rPr>
        <w:tab/>
      </w:r>
    </w:p>
    <w:p>
      <w:pPr>
        <w:pStyle w:val="Normal"/>
        <w:widowControl/>
        <w:tabs>
          <w:tab w:val="clear" w:pos="720"/>
          <w:tab w:val="left" w:pos="-1440" w:leader="none"/>
        </w:tabs>
        <w:jc w:val="both"/>
        <w:rPr/>
      </w:pPr>
      <w:r>
        <w:rPr/>
        <w:t>[S E A L]</w:t>
        <w:tab/>
        <w:tab/>
        <w:tab/>
        <w:tab/>
        <w:tab/>
        <w:t>Notary Public, State of Texas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r>
        <w:br w:type="page"/>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2160" w:end="0"/>
        <w:jc w:val="both"/>
        <w:rPr/>
      </w:pPr>
      <w:r>
        <w:rPr>
          <w:u w:val="single"/>
        </w:rPr>
        <w:t>GRANTEE'S ADDRESS FOR TAX NOTICES</w:t>
      </w:r>
      <w:r>
        <w:rPr/>
        <w:t>:</w:t>
      </w:r>
    </w:p>
    <w:p>
      <w:pPr>
        <w:pStyle w:val="Normal"/>
        <w:widowControl/>
        <w:tabs>
          <w:tab w:val="clear" w:pos="720"/>
          <w:tab w:val="left" w:pos="-1440" w:leader="none"/>
        </w:tabs>
        <w:ind w:firstLine="2160" w:end="0"/>
        <w:jc w:val="both"/>
        <w:rPr/>
      </w:pPr>
      <w:r>
        <w:rPr/>
        <w:t>Agape Leander Housing, Inc.</w:t>
      </w:r>
    </w:p>
    <w:p>
      <w:pPr>
        <w:pStyle w:val="Normal"/>
        <w:widowControl/>
        <w:tabs>
          <w:tab w:val="clear" w:pos="720"/>
          <w:tab w:val="left" w:pos="-1440" w:leader="none"/>
        </w:tabs>
        <w:ind w:firstLine="2160" w:end="0"/>
        <w:jc w:val="both"/>
        <w:rPr/>
      </w:pPr>
      <w:r>
        <w:rPr/>
        <w:t>210 West Laurel, Suite 100</w:t>
      </w:r>
    </w:p>
    <w:p>
      <w:pPr>
        <w:pStyle w:val="Normal"/>
        <w:widowControl/>
        <w:tabs>
          <w:tab w:val="clear" w:pos="720"/>
          <w:tab w:val="left" w:pos="-1440" w:leader="none"/>
        </w:tabs>
        <w:ind w:start="2160" w:end="0"/>
        <w:jc w:val="both"/>
        <w:rPr/>
      </w:pPr>
      <w:r>
        <w:rPr/>
        <w:t>San Antonio, Texas  78212</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u w:val="single"/>
        </w:rPr>
        <w:t>When recorded, return to</w:t>
      </w:r>
      <w:r>
        <w:rPr/>
        <w:t>:</w:t>
      </w:r>
    </w:p>
    <w:p>
      <w:pPr>
        <w:pStyle w:val="Normal"/>
        <w:widowControl/>
        <w:tabs>
          <w:tab w:val="clear" w:pos="720"/>
          <w:tab w:val="left" w:pos="-1440" w:leader="none"/>
        </w:tabs>
        <w:jc w:val="both"/>
        <w:rPr/>
      </w:pPr>
      <w:r>
        <w:rPr/>
        <w:t>Shelly Jewett, Esq.</w:t>
      </w:r>
    </w:p>
    <w:p>
      <w:pPr>
        <w:pStyle w:val="Normal"/>
        <w:widowControl/>
        <w:tabs>
          <w:tab w:val="clear" w:pos="720"/>
          <w:tab w:val="left" w:pos="-1440" w:leader="none"/>
        </w:tabs>
        <w:jc w:val="both"/>
        <w:rPr/>
      </w:pPr>
      <w:r>
        <w:rPr/>
        <w:t>Akin, Gump, Strauss, Hauer &amp; Feld, L.L.P.</w:t>
      </w:r>
    </w:p>
    <w:p>
      <w:pPr>
        <w:pStyle w:val="Normal"/>
        <w:widowControl/>
        <w:tabs>
          <w:tab w:val="clear" w:pos="720"/>
          <w:tab w:val="left" w:pos="-1440" w:leader="none"/>
        </w:tabs>
        <w:jc w:val="both"/>
        <w:rPr/>
      </w:pPr>
      <w:r>
        <w:rPr/>
        <w:t>300 Convent Street, Suite 1500</w:t>
      </w:r>
    </w:p>
    <w:p>
      <w:pPr>
        <w:pStyle w:val="Normal"/>
        <w:widowControl/>
        <w:tabs>
          <w:tab w:val="clear" w:pos="720"/>
          <w:tab w:val="left" w:pos="-1440" w:leader="none"/>
        </w:tabs>
        <w:jc w:val="both"/>
        <w:rPr/>
      </w:pPr>
      <w:r>
        <w:rPr/>
        <w:t>San Antonio, Texas  78205</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headerReference w:type="default" r:id="rId2"/>
          <w:footerReference w:type="default" r:id="rId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center" w:pos="4680" w:leader="none"/>
        </w:tabs>
        <w:jc w:val="center"/>
        <w:rPr>
          <w:b/>
        </w:rPr>
      </w:pPr>
      <w:r>
        <w:rPr>
          <w:b/>
          <w:u w:val="single"/>
        </w:rPr>
        <w:t>EXHIBIT "A"</w:t>
      </w:r>
    </w:p>
    <w:p>
      <w:pPr>
        <w:pStyle w:val="Normal"/>
        <w:widowControl/>
        <w:tabs>
          <w:tab w:val="clear" w:pos="720"/>
          <w:tab w:val="left" w:pos="-1440" w:leader="none"/>
        </w:tabs>
        <w:jc w:val="both"/>
        <w:rPr>
          <w:b/>
        </w:rPr>
      </w:pPr>
      <w:r>
        <w:rPr>
          <w:b/>
        </w:rPr>
      </w:r>
    </w:p>
    <w:p>
      <w:pPr>
        <w:pStyle w:val="Normal"/>
        <w:widowControl/>
        <w:tabs>
          <w:tab w:val="clear" w:pos="720"/>
          <w:tab w:val="center" w:pos="4680" w:leader="none"/>
        </w:tabs>
        <w:jc w:val="center"/>
        <w:rPr>
          <w:b/>
          <w:u w:val="single"/>
        </w:rPr>
      </w:pPr>
      <w:r>
        <w:rPr>
          <w:b/>
          <w:u w:val="single"/>
        </w:rPr>
        <w:t>PROPERTY DESCRIPTION</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864" w:bottom="920"/>
          <w:pgNumType w:start="1"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center" w:pos="4680" w:leader="none"/>
        </w:tabs>
        <w:jc w:val="center"/>
        <w:rPr>
          <w:b/>
          <w:u w:val="single"/>
        </w:rPr>
      </w:pPr>
      <w:r>
        <w:rPr>
          <w:b/>
          <w:u w:val="single"/>
        </w:rPr>
        <w:t>EXHIBIT "B"</w:t>
      </w:r>
    </w:p>
    <w:p>
      <w:pPr>
        <w:pStyle w:val="Normal"/>
        <w:widowControl/>
        <w:tabs>
          <w:tab w:val="clear" w:pos="720"/>
          <w:tab w:val="left" w:pos="-1440" w:leader="none"/>
        </w:tabs>
        <w:jc w:val="both"/>
        <w:rPr/>
      </w:pPr>
      <w:r>
        <w:rPr/>
      </w:r>
    </w:p>
    <w:p>
      <w:pPr>
        <w:pStyle w:val="Normal"/>
        <w:widowControl/>
        <w:tabs>
          <w:tab w:val="clear" w:pos="720"/>
          <w:tab w:val="center" w:pos="4680" w:leader="none"/>
        </w:tabs>
        <w:jc w:val="center"/>
        <w:rPr>
          <w:b/>
          <w:u w:val="single"/>
        </w:rPr>
      </w:pPr>
      <w:r>
        <w:rPr>
          <w:b/>
          <w:u w:val="single"/>
        </w:rPr>
        <w:t>PERMITTED EXCEPTIONS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1.</w:t>
        <w:tab/>
        <w:t>All of the terms, conditions and provisions of the Private Land Use Regulations and Easement Agreement executed by and between Cofinsa Co., a Texas corporation, d/b/a International Forex Corp. and the Board of Trustees of the Leander Independent School District, dated June 8, 1994, recorded in Volume 2548, Page 821, Official Records of Williamson County, Texas.</w:t>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pPr>
      <w:r>
        <w:rPr/>
      </w:r>
    </w:p>
    <w:p>
      <w:pPr>
        <w:pStyle w:val="Level1"/>
        <w:widowControl/>
        <w:tabs>
          <w:tab w:val="clear" w:pos="720"/>
          <w:tab w:val="left" w:pos="-1440" w:leader="none"/>
        </w:tabs>
        <w:jc w:val="both"/>
        <w:rPr>
          <w:lang w:val="en-CA" w:eastAsia="en-CA"/>
        </w:rPr>
      </w:pPr>
      <w:r>
        <w:rPr>
          <w:lang w:val="en-CA" w:eastAsia="en-CA"/>
        </w:rPr>
      </w:r>
      <w:r>
        <mc:AlternateContent>
          <mc:Choice Requires="wps">
            <w:drawing>
              <wp:anchor behindDoc="0" distT="0" distB="0" distL="114935" distR="114935" simplePos="0" locked="0" layoutInCell="0" allowOverlap="1" relativeHeight="2">
                <wp:simplePos x="0" y="0"/>
                <wp:positionH relativeFrom="page">
                  <wp:posOffset>914400</wp:posOffset>
                </wp:positionH>
                <wp:positionV relativeFrom="paragraph">
                  <wp:posOffset>457200</wp:posOffset>
                </wp:positionV>
                <wp:extent cx="5943600" cy="27432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5943600" cy="274320"/>
                        </a:xfrm>
                        <a:prstGeom prst="rect"/>
                        <a:solidFill>
                          <a:srgbClr val="FFFFFF">
                            <a:alpha val="0"/>
                          </a:srgbClr>
                        </a:solidFill>
                      </wps:spPr>
                      <wps:txbx>
                        <w:txbxContent>
                          <w:p>
                            <w:pPr>
                              <w:pStyle w:val="Normal"/>
                              <w:rPr>
                                <w:sz w:val="16"/>
                              </w:rPr>
                            </w:pPr>
                            <w:r>
                              <w:rPr>
                                <w:sz w:val="16"/>
                              </w:rPr>
                              <w:t>AUSTIN_1\169877\2</w:t>
                            </w:r>
                          </w:p>
                          <w:p>
                            <w:pPr>
                              <w:pStyle w:val="Normal"/>
                              <w:rPr>
                                <w:sz w:val="16"/>
                              </w:rPr>
                            </w:pPr>
                            <w:r>
                              <w:rPr>
                                <w:sz w:val="16"/>
                              </w:rPr>
                              <w:t>08/02/2001 - 19131-26</w:t>
                            </w:r>
                          </w:p>
                        </w:txbxContent>
                      </wps:txbx>
                      <wps:bodyPr anchor="t" lIns="635" tIns="635" rIns="635" bIns="635">
                        <a:noAutofit/>
                      </wps:bodyPr>
                    </wps:wsp>
                  </a:graphicData>
                </a:graphic>
              </wp:anchor>
            </w:drawing>
          </mc:Choice>
          <mc:Fallback>
            <w:pict>
              <v:rect fillcolor="#FFFFFF" style="position:absolute;rotation:-0;width:468pt;height:21.6pt;mso-wrap-distance-left:9.05pt;mso-wrap-distance-right:9.05pt;mso-wrap-distance-top:0pt;mso-wrap-distance-bottom:0pt;margin-top:36pt;mso-position-vertical-relative:text;margin-left:72pt;mso-position-horizontal-relative:page">
                <v:fill opacity="0f"/>
                <v:textbox inset="0.000694444444444445in,0.000694444444444445in,0.000694444444444445in,0.000694444444444445in">
                  <w:txbxContent>
                    <w:p>
                      <w:pPr>
                        <w:pStyle w:val="Normal"/>
                        <w:rPr>
                          <w:sz w:val="16"/>
                        </w:rPr>
                      </w:pPr>
                      <w:r>
                        <w:rPr>
                          <w:sz w:val="16"/>
                        </w:rPr>
                        <w:t>AUSTIN_1\169877\2</w:t>
                      </w:r>
                    </w:p>
                    <w:p>
                      <w:pPr>
                        <w:pStyle w:val="Normal"/>
                        <w:rPr>
                          <w:sz w:val="16"/>
                        </w:rPr>
                      </w:pPr>
                      <w:r>
                        <w:rPr>
                          <w:sz w:val="16"/>
                        </w:rPr>
                        <w:t>08/02/2001 - 19131-26</w:t>
                      </w:r>
                    </w:p>
                  </w:txbxContent>
                </v:textbox>
                <w10:wrap type="square"/>
              </v:rect>
            </w:pict>
          </mc:Fallback>
        </mc:AlternateContent>
      </w:r>
    </w:p>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charset w:val="00" w:characterSet="windows-1252"/>
    <w:family w:val="roma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pPr>
    <w:r>
      <w:rPr/>
    </w:r>
  </w:p>
  <w:p>
    <w:pPr>
      <w:pStyle w:val="Normal"/>
      <w:jc w:val="both"/>
      <w:rPr/>
    </w:pPr>
    <w:r>
      <w:rPr/>
      <w:t xml:space="preserve">SPECIAL WARRANTY DEED WITH VENDOR'S LIEN </w:t>
      <w:noBreakHyphen/>
      <w:t xml:space="preserve"> Page </w:t>
    </w: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pPr>
    <w:r>
      <w:rPr/>
    </w:r>
  </w:p>
  <w:p>
    <w:pPr>
      <w:pStyle w:val="Normal"/>
      <w:jc w:val="both"/>
      <w:rPr/>
    </w:pPr>
    <w:r>
      <w:rPr/>
      <w:t xml:space="preserve">EXHIBIT "A", Property Description </w:t>
      <w:noBreakHyphen/>
      <w:t xml:space="preserve"> Solo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pPr>
    <w:r>
      <w:rPr/>
    </w:r>
  </w:p>
  <w:p>
    <w:pPr>
      <w:pStyle w:val="Normal"/>
      <w:jc w:val="both"/>
      <w:rPr/>
    </w:pPr>
    <w:r>
      <w:rPr/>
      <w:t xml:space="preserve">EXHIBIT "B", Permitted Exceptions </w:t>
      <w:noBreakHyphen/>
      <w:t xml:space="preserve"> Solo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75"/>
  <w:mirrorMargins/>
  <w:defaultTabStop w:val="720"/>
  <w:autoHyphenation w:val="true"/>
  <w:hyphenationZone w:val="0"/>
  <w:compat>
    <w:doNotExpandShiftReturn/>
    <w:usePrinterMetrics/>
    <w:compatSetting w:name="compatibilityMode" w:uri="http://schemas.microsoft.com/office/word" w:val="11"/>
  </w:compat>
  <w:docVars>
    <w:docVar w:name="SWDocIDLocation"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2001-07-23T20:07:00Z</dcterms:created>
  <dc:creator>Corporate User</dc:creator>
  <dc:description/>
  <dc:language>en-CA</dc:language>
  <cp:lastModifiedBy>Corporate User</cp:lastModifiedBy>
  <cp:lastPrinted>2001-08-02T14:24:00Z</cp:lastPrinted>
  <dcterms:modified xsi:type="dcterms:W3CDTF">2001-08-14T11:27:00Z</dcterms:modified>
  <cp:revision>14</cp:revision>
  <dc:subject/>
  <dc:title>SPECIAL WARRANTY DEED WITH VENDOR'S LIEN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