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SPECIAL PROVISIONS</w:t>
      </w:r>
    </w:p>
    <w:p>
      <w:pPr>
        <w:pStyle w:val="Normal"/>
        <w:jc w:val="center"/>
        <w:rPr>
          <w:b/>
        </w:rPr>
      </w:pPr>
      <w:r>
        <w:rPr>
          <w:b/>
        </w:rPr>
        <w:t>Addenda To</w:t>
      </w:r>
    </w:p>
    <w:p>
      <w:pPr>
        <w:pStyle w:val="Normal"/>
        <w:jc w:val="center"/>
        <w:rPr>
          <w:b/>
        </w:rPr>
      </w:pPr>
      <w:r>
        <w:rPr>
          <w:b/>
        </w:rPr>
        <w:t>BASE CONTRACT FOR SHORT-TERM SALE AND PURCHASE OF NATURAL GAS</w:t>
      </w:r>
    </w:p>
    <w:p>
      <w:pPr>
        <w:pStyle w:val="Normal"/>
        <w:jc w:val="center"/>
        <w:rPr>
          <w:b/>
        </w:rPr>
      </w:pPr>
      <w:r>
        <w:rPr>
          <w:b/>
        </w:rPr>
        <w:t>(GISB)</w:t>
      </w:r>
    </w:p>
    <w:p>
      <w:pPr>
        <w:pStyle w:val="Normal"/>
        <w:jc w:val="center"/>
        <w:rPr>
          <w:b/>
        </w:rPr>
      </w:pPr>
      <w:r>
        <w:rPr>
          <w:b/>
        </w:rPr>
        <w:t>For</w:t>
      </w:r>
    </w:p>
    <w:p>
      <w:pPr>
        <w:pStyle w:val="Normal"/>
        <w:jc w:val="center"/>
        <w:rPr>
          <w:b/>
        </w:rPr>
      </w:pPr>
      <w:r>
        <w:rPr>
          <w:b/>
        </w:rPr>
        <w:t>LONG-TERM SALE AND PURCHASE OF NATURAL GAS</w:t>
      </w:r>
    </w:p>
    <w:p>
      <w:pPr>
        <w:pStyle w:val="Normal"/>
        <w:jc w:val="center"/>
        <w:rPr>
          <w:b/>
        </w:rPr>
      </w:pPr>
      <w:r>
        <w:rPr>
          <w:b/>
        </w:rPr>
      </w:r>
    </w:p>
    <w:p>
      <w:pPr>
        <w:pStyle w:val="Normal"/>
        <w:jc w:val="center"/>
        <w:rPr>
          <w:spacing w:val="-4"/>
          <w:sz w:val="20"/>
        </w:rPr>
      </w:pPr>
      <w:r>
        <w:rPr>
          <w:spacing w:val="-4"/>
          <w:sz w:val="20"/>
        </w:rPr>
        <w:t>between ________________________________________(Buyer)</w:t>
      </w:r>
    </w:p>
    <w:p>
      <w:pPr>
        <w:pStyle w:val="Normal"/>
        <w:jc w:val="center"/>
        <w:rPr>
          <w:spacing w:val="-4"/>
          <w:sz w:val="20"/>
        </w:rPr>
      </w:pPr>
      <w:r>
        <w:rPr>
          <w:spacing w:val="-4"/>
          <w:sz w:val="20"/>
        </w:rPr>
        <w:t>and _________________________________________(Seller)</w:t>
      </w:r>
    </w:p>
    <w:p>
      <w:pPr>
        <w:pStyle w:val="Normal"/>
        <w:jc w:val="center"/>
        <w:rPr>
          <w:spacing w:val="-4"/>
          <w:sz w:val="20"/>
        </w:rPr>
      </w:pPr>
      <w:r>
        <w:rPr>
          <w:spacing w:val="-4"/>
          <w:sz w:val="20"/>
        </w:rPr>
        <w:t>dated ______________________</w:t>
      </w:r>
    </w:p>
    <w:p>
      <w:pPr>
        <w:pStyle w:val="Normal"/>
        <w:jc w:val="center"/>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Section 1.3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Insert the following after the third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Notwithstanding the foregoing, any such Transaction Confirmation shall be legally binding, valid and enforceable with regard to any portion of the Transaction Confirmation that is effective or deemed effective, and not in conflict and/or dispute. Transaction Confirmation shall mean the written form and/or any and all recorded conversations between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Insert the following after the third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In the event delivered gas fails to meet Receiving Transporter’s quality and heat content requirements, Seller shall join with Buyer in petitioning Receiving Transporter to enforce such quality requirements on Producer(s).”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7.4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Insert as the second sentence of this section: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 xml:space="preserve">Such right shall include, but not be limited to, copies of any and all statements and/or records pertaining to transportation of the relevant commodity for any completed transaction between the parties, or any transaction for which any such transportation charges are included in the billing and/or invoices, and/or are the subject of any bona fide dispute between the parties, and without regard as to whether such records and/or statements were generated by the party being audited or the relevant Transporter.”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7.5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as Section 7.5: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Neither party shall disclose the terms of any transaction to any third party absent written permission of the other party except where (i) necessary to comply with any applicable law, order, regulation or rule; provided however, that each party shall notify the other party promptly upon receipt of any request to it in any proceeding that could result in an order requiring such disclosure and the party subject to such request shall use reasonable efforts to prevent or limit the disclosure; or (ii) necessary to effectuate the transportation of the Gas subject to this Contract.  As a condition of conducting an audit pursuant to Section 7.4 above the auditing party acknowledges that the documents and records provided might contain proprietary or competitively sensitive information, which the auditing party shall treat as confidential.”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r>
        <w:br w:type="page"/>
      </w:r>
      <w:r>
        <mc:AlternateContent>
          <mc:Choice Requires="wps">
            <w:drawing>
              <wp:anchor behindDoc="0" distT="0" distB="0" distL="114935" distR="114935" simplePos="0" locked="0" layoutInCell="1" allowOverlap="1" relativeHeight="4">
                <wp:simplePos x="0" y="0"/>
                <wp:positionH relativeFrom="column">
                  <wp:posOffset>5024755</wp:posOffset>
                </wp:positionH>
                <wp:positionV relativeFrom="paragraph">
                  <wp:posOffset>453390</wp:posOffset>
                </wp:positionV>
                <wp:extent cx="923290" cy="923290"/>
                <wp:effectExtent l="0" t="0" r="0" b="0"/>
                <wp:wrapNone/>
                <wp:docPr id="1" name="Frame1"/>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sz w:val="20"/>
                              </w:rPr>
                            </w:pPr>
                            <w:r>
                              <w:rPr>
                                <w:sz w:val="20"/>
                              </w:rPr>
                              <w:t>Initials</w:t>
                            </w:r>
                          </w:p>
                          <w:p>
                            <w:pPr>
                              <w:pStyle w:val="Normal"/>
                              <w:rPr>
                                <w:sz w:val="20"/>
                              </w:rPr>
                            </w:pPr>
                            <w:r>
                              <w:rPr>
                                <w:sz w:val="20"/>
                              </w:rPr>
                              <w:t>A____</w:t>
                            </w:r>
                          </w:p>
                          <w:p>
                            <w:pPr>
                              <w:pStyle w:val="Normal"/>
                              <w:rPr>
                                <w:sz w:val="20"/>
                              </w:rPr>
                            </w:pPr>
                            <w:r>
                              <w:rPr>
                                <w:sz w:val="20"/>
                              </w:rPr>
                            </w:r>
                          </w:p>
                          <w:p>
                            <w:pPr>
                              <w:pStyle w:val="Normal"/>
                              <w:rPr>
                                <w:sz w:val="20"/>
                              </w:rPr>
                            </w:pPr>
                            <w:r>
                              <w:rPr>
                                <w:sz w:val="20"/>
                              </w:rPr>
                              <w:t>B____</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35.7pt;mso-position-vertical-relative:text;margin-left:395.65pt;mso-position-horizontal-relative:text">
                <v:textbox>
                  <w:txbxContent>
                    <w:p>
                      <w:pPr>
                        <w:pStyle w:val="Normal"/>
                        <w:rPr>
                          <w:sz w:val="20"/>
                        </w:rPr>
                      </w:pPr>
                      <w:r>
                        <w:rPr>
                          <w:sz w:val="20"/>
                        </w:rPr>
                        <w:t>Initials</w:t>
                      </w:r>
                    </w:p>
                    <w:p>
                      <w:pPr>
                        <w:pStyle w:val="Normal"/>
                        <w:rPr>
                          <w:sz w:val="20"/>
                        </w:rPr>
                      </w:pPr>
                      <w:r>
                        <w:rPr>
                          <w:sz w:val="20"/>
                        </w:rPr>
                        <w:t>A____</w:t>
                      </w:r>
                    </w:p>
                    <w:p>
                      <w:pPr>
                        <w:pStyle w:val="Normal"/>
                        <w:rPr>
                          <w:sz w:val="20"/>
                        </w:rPr>
                      </w:pPr>
                      <w:r>
                        <w:rPr>
                          <w:sz w:val="20"/>
                        </w:rPr>
                      </w:r>
                    </w:p>
                    <w:p>
                      <w:pPr>
                        <w:pStyle w:val="Normal"/>
                        <w:rPr>
                          <w:sz w:val="20"/>
                        </w:rPr>
                      </w:pPr>
                      <w:r>
                        <w:rPr>
                          <w:sz w:val="20"/>
                        </w:rPr>
                        <w:t>B____</w:t>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7.6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as Section 7.6:</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Notwithstanding any provision to the contrary contained herein, the parties agree that in the event that either party (the “Audited Party”) is subject to a federal, state and/or local governmental or regulatory audit or review, then upon the written request of the Audited Party, the Audited Party shall be entitled to the same review and examination rights set forth in Section 7.4 above.  Such right set forth in this Section 7.6 shall not be governed by the two (2) year limitation in Section 7.4, but shall be limited by any Statute of Limitations for such governmental or regulatory audit, or any waivers thereof.  Such right shall not extend any time frame for the adjustment of any payments or invoices beyond the two (2) year period set forth in Section 7.4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9.3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Delete the last sentence in its entirety and replace it with: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Notice via first class mail shall be considered delivered five (5) Business Days after mailing; provided however, that if a return receipt is requested for such first class mailing, then such notice shall be delivered on the date noted as such on the receipt.”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10.3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i/>
          <w:spacing w:val="-4"/>
          <w:sz w:val="20"/>
        </w:rPr>
        <w:t>Insert as Section 10.3</w:t>
      </w:r>
      <w:r>
        <w:rPr>
          <w:spacing w:val="-4"/>
          <w:sz w:val="20"/>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In the event a party terminates this Contract under this Article 10 (“Non-Defaulting Party”), the Non-Defaulting Party shall designate an early termination date (“Early Termination Date”).  Such Early Termination Date shall be designated no later than three (3) Business Days after the occurrence of any such event (i) – (v) in Section 10.1 and the Non-Defaulting Party shall provide immediate notice of such date to the other party (“Defaulting Party”).  Upon the Early Termination Date, the Non-Defaulting Party shall have the right to liquidate any and all transactions entered into pursuant to this Contract and which are then outstanding by: (i) closing out each transaction being liquidated at its Market Value (as defined below) so that each such transaction is cancelled and a settlement payment in an amount equal to the positive difference between such Market Value and the Contract Value (as defined below) of such transaction shall be due to the Buyer if such Market Value exceeds the Contract Value and to the Seller if the opposite is the case; (ii) discounting each amount then due under clause (i) above to net present value in a commercially reasonable manner at the time of the liquidation (to take into account the period between the date of the liquidation and the date on which such amount would have otherwise been due pursuant to the relevant transaction); and (iii) setting off or aggregating, as appropriate, any or all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The net amount due under any such liquidation shall be paid by the close of business on the third Business Day following the Early Termination Date.  For purposes of this Section 10.3 “Contract Value” means the amount of the Gas remaining to be delivered or purchased pursuant to a Firm transaction multiplied by the price per unit of Gas stated in the applicable transaction, and “Market Value” means the amount of Gas remaining to be delivered or purchased pursuant to a Firm transaction multiplied by the market price per unit determined by the Non-Defaulting Party in a commercially reasonable manner for the delivery or production area, as applicable.  The rate of interest used in calculating net present value pursuant to item (ii) of this Section 10.3 shall be determined by the Non-Defaulting Party in a commercially reasonable manner.  All calculations contemplated herein shall be in accordance with generally accepted accounting principals (“GAAP”).  The parties agree that this Contract and all transactions entered into pursuant hereto each constitute a “forward contract” within the meaning of the U.S. Bankruptcy Code and any other applicable insolvency laws.  The Non-Defaulting Party’s rights under this Article 10 and to those costs under Articles 3 and 4 accrued prior to the Early Termination Date are the sole and exclusive remedy of the Non-Defaulting Party.  The Non-Defaulting Party shall give notice to the Defaulting Party no later than the time specified above that a liquidation pursuant to this Article 10 has occurred, provided, however, that failure to give such notice shall not affect the validity or enforceability of liquidation nor give rise to any claim by the Defaulting Party against the Non-Defaulting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r>
        <w:br w:type="page"/>
      </w:r>
      <w:r>
        <mc:AlternateContent>
          <mc:Choice Requires="wps">
            <w:drawing>
              <wp:anchor behindDoc="0" distT="0" distB="0" distL="114935" distR="114935" simplePos="0" locked="0" layoutInCell="1" allowOverlap="1" relativeHeight="2">
                <wp:simplePos x="0" y="0"/>
                <wp:positionH relativeFrom="column">
                  <wp:posOffset>5024755</wp:posOffset>
                </wp:positionH>
                <wp:positionV relativeFrom="paragraph">
                  <wp:posOffset>275590</wp:posOffset>
                </wp:positionV>
                <wp:extent cx="923290" cy="923290"/>
                <wp:effectExtent l="0" t="0" r="0" b="0"/>
                <wp:wrapNone/>
                <wp:docPr id="2" name="Frame2"/>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sz w:val="20"/>
                              </w:rPr>
                            </w:pPr>
                            <w:r>
                              <w:rPr>
                                <w:sz w:val="20"/>
                              </w:rPr>
                              <w:t>Initials</w:t>
                            </w:r>
                          </w:p>
                          <w:p>
                            <w:pPr>
                              <w:pStyle w:val="Normal"/>
                              <w:rPr>
                                <w:sz w:val="20"/>
                              </w:rPr>
                            </w:pPr>
                            <w:r>
                              <w:rPr>
                                <w:sz w:val="20"/>
                              </w:rPr>
                              <w:t>A____</w:t>
                            </w:r>
                          </w:p>
                          <w:p>
                            <w:pPr>
                              <w:pStyle w:val="Normal"/>
                              <w:rPr>
                                <w:sz w:val="20"/>
                              </w:rPr>
                            </w:pPr>
                            <w:r>
                              <w:rPr>
                                <w:sz w:val="20"/>
                              </w:rPr>
                            </w:r>
                          </w:p>
                          <w:p>
                            <w:pPr>
                              <w:pStyle w:val="Normal"/>
                              <w:rPr>
                                <w:sz w:val="20"/>
                              </w:rPr>
                            </w:pPr>
                            <w:r>
                              <w:rPr>
                                <w:sz w:val="20"/>
                              </w:rPr>
                              <w:t>B____</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21.7pt;mso-position-vertical-relative:text;margin-left:395.65pt;mso-position-horizontal-relative:text">
                <v:textbox>
                  <w:txbxContent>
                    <w:p>
                      <w:pPr>
                        <w:pStyle w:val="Normal"/>
                        <w:rPr>
                          <w:sz w:val="20"/>
                        </w:rPr>
                      </w:pPr>
                      <w:r>
                        <w:rPr>
                          <w:sz w:val="20"/>
                        </w:rPr>
                        <w:t>Initials</w:t>
                      </w:r>
                    </w:p>
                    <w:p>
                      <w:pPr>
                        <w:pStyle w:val="Normal"/>
                        <w:rPr>
                          <w:sz w:val="20"/>
                        </w:rPr>
                      </w:pPr>
                      <w:r>
                        <w:rPr>
                          <w:sz w:val="20"/>
                        </w:rPr>
                        <w:t>A____</w:t>
                      </w:r>
                    </w:p>
                    <w:p>
                      <w:pPr>
                        <w:pStyle w:val="Normal"/>
                        <w:rPr>
                          <w:sz w:val="20"/>
                        </w:rPr>
                      </w:pPr>
                      <w:r>
                        <w:rPr>
                          <w:sz w:val="20"/>
                        </w:rPr>
                      </w:r>
                    </w:p>
                    <w:p>
                      <w:pPr>
                        <w:pStyle w:val="Normal"/>
                        <w:rPr>
                          <w:sz w:val="20"/>
                        </w:rPr>
                      </w:pPr>
                      <w:r>
                        <w:rPr>
                          <w:sz w:val="20"/>
                        </w:rPr>
                        <w:t>B____</w:t>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13.1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i/>
          <w:spacing w:val="-4"/>
          <w:sz w:val="20"/>
        </w:rPr>
        <w:t>Delete the last two sentences of this section and replace them with: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No assignment of this Contract, in whole or in part, will be made without the prior written consent of the non-assigning party, which consent will not be unreasonably withheld or delayed; provided, either party may transfer its interest and without relieving itself of liability hereunder to (i) any entity succeeding to all or substantially all of the assets of such party, or (ii) to an affiliate of such party, provided, however that the creditworthiness of any such succeeding entity or affiliate shall be equal to or higher than that of such party, and further provided that such succeeding entity or affiliate shall agree in writing to be bound by all of the terms and conditions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13.2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at the end of Section 13.2: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The parties shall in good faith renegotiate and reform any such affected provision so as to give effect to the original intent of the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13.9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as Section 13.9:</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Each party consents to the creation of a tape or electronic recording of all telephone conversations between the parties to this Contract, and that any such recordings will be retained in confidence, secured from improper access, and may be submitted in evidence in any proceeding or action relating to this Contract.  Each party waives any further notice of such monitoring or recording, and agrees to notify its officers and employees of such monitoring or recording and to obtain any necessary consent of such officers and employees.  Each party waives any objections to the introduction of the recorded conversations into evidence to prove a contract whether based on the Statute of Frauds, the Parol Evidence Rule, the Best Evidence Rule or any similar evidentiary rules.  Each party waives any objection or defense to its authority or the authority of its employee provided that such employee can be identified on the relevant employing party’s recording.”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13.10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as Section 13.10: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 xml:space="preserve">Except as otherwise provided for herein, the provisions of the Uniform Commercial Code (“UCC”) of the state whose laws shall govern this Contract shall be deemed to apply to all transactions.”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13.11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as Section 13.11: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r>
        <mc:AlternateContent>
          <mc:Choice Requires="wps">
            <w:drawing>
              <wp:anchor behindDoc="0" distT="0" distB="0" distL="114935" distR="114935" simplePos="0" locked="0" layoutInCell="1" allowOverlap="1" relativeHeight="3">
                <wp:simplePos x="0" y="0"/>
                <wp:positionH relativeFrom="column">
                  <wp:posOffset>5116195</wp:posOffset>
                </wp:positionH>
                <wp:positionV relativeFrom="paragraph">
                  <wp:posOffset>1974850</wp:posOffset>
                </wp:positionV>
                <wp:extent cx="923290" cy="923290"/>
                <wp:effectExtent l="0" t="0" r="0" b="0"/>
                <wp:wrapNone/>
                <wp:docPr id="3" name="Frame3"/>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sz w:val="20"/>
                              </w:rPr>
                            </w:pPr>
                            <w:r>
                              <w:rPr>
                                <w:sz w:val="20"/>
                              </w:rPr>
                              <w:t>Initials</w:t>
                            </w:r>
                          </w:p>
                          <w:p>
                            <w:pPr>
                              <w:pStyle w:val="Normal"/>
                              <w:rPr>
                                <w:sz w:val="20"/>
                              </w:rPr>
                            </w:pPr>
                            <w:r>
                              <w:rPr>
                                <w:sz w:val="20"/>
                              </w:rPr>
                              <w:t>A____</w:t>
                            </w:r>
                          </w:p>
                          <w:p>
                            <w:pPr>
                              <w:pStyle w:val="Normal"/>
                              <w:rPr>
                                <w:sz w:val="20"/>
                              </w:rPr>
                            </w:pPr>
                            <w:r>
                              <w:rPr>
                                <w:sz w:val="20"/>
                              </w:rPr>
                            </w:r>
                          </w:p>
                          <w:p>
                            <w:pPr>
                              <w:pStyle w:val="Normal"/>
                              <w:rPr>
                                <w:sz w:val="20"/>
                              </w:rPr>
                            </w:pPr>
                            <w:r>
                              <w:rPr>
                                <w:sz w:val="20"/>
                              </w:rPr>
                              <w:t>B____</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155.5pt;mso-position-vertical-relative:text;margin-left:402.85pt;mso-position-horizontal-relative:text">
                <v:textbox>
                  <w:txbxContent>
                    <w:p>
                      <w:pPr>
                        <w:pStyle w:val="Normal"/>
                        <w:rPr>
                          <w:sz w:val="20"/>
                        </w:rPr>
                      </w:pPr>
                      <w:r>
                        <w:rPr>
                          <w:sz w:val="20"/>
                        </w:rPr>
                        <w:t>Initials</w:t>
                      </w:r>
                    </w:p>
                    <w:p>
                      <w:pPr>
                        <w:pStyle w:val="Normal"/>
                        <w:rPr>
                          <w:sz w:val="20"/>
                        </w:rPr>
                      </w:pPr>
                      <w:r>
                        <w:rPr>
                          <w:sz w:val="20"/>
                        </w:rPr>
                        <w:t>A____</w:t>
                      </w:r>
                    </w:p>
                    <w:p>
                      <w:pPr>
                        <w:pStyle w:val="Normal"/>
                        <w:rPr>
                          <w:sz w:val="20"/>
                        </w:rPr>
                      </w:pPr>
                      <w:r>
                        <w:rPr>
                          <w:sz w:val="20"/>
                        </w:rPr>
                      </w:r>
                    </w:p>
                    <w:p>
                      <w:pPr>
                        <w:pStyle w:val="Normal"/>
                        <w:rPr>
                          <w:sz w:val="20"/>
                        </w:rPr>
                      </w:pPr>
                      <w:r>
                        <w:rPr>
                          <w:sz w:val="20"/>
                        </w:rPr>
                        <w:t>B____</w:t>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 xml:space="preserve">Section 13.12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i/>
          <w:i/>
          <w:spacing w:val="-4"/>
          <w:sz w:val="20"/>
        </w:rPr>
      </w:pPr>
      <w:r>
        <w:rPr>
          <w:i/>
          <w:spacing w:val="-4"/>
          <w:sz w:val="20"/>
        </w:rPr>
        <w:t>Add as Section 13.12: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sz w:val="20"/>
        </w:rPr>
      </w:pPr>
      <w:r>
        <w:rPr>
          <w:spacing w:val="-4"/>
          <w:sz w:val="20"/>
        </w:rPr>
        <w:t>“</w:t>
      </w:r>
      <w:r>
        <w:rPr>
          <w:spacing w:val="-4"/>
          <w:sz w:val="20"/>
        </w:rPr>
        <w:t>If any federal or state law, rule, order, opinion, enactment or regulation of any governing authority or court prevents Buyer from recovering from its customers the full amount of any and all costs incurred under this Agreement with Supplier, Buyer shall provide  Supplier with written notification as soon as reasonably possible of the amount allowed to recover from its customers for ratemaking purposes. Upon receiving such notification, Supplier may chose either to amend the Agreement so that Buyer can include, for ratemaking purposes, the full price of gas purchased from supplier, or, pursuant to Section 12, terminate the Agreement.”</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2001-10-31T13:23:00Z</dcterms:created>
  <dc:creator>Corporate User</dc:creator>
  <dc:description/>
  <dc:language>en-CA</dc:language>
  <cp:lastModifiedBy>Corporate User</cp:lastModifiedBy>
  <cp:lastPrinted>2001-11-14T13:18:00Z</cp:lastPrinted>
  <dcterms:modified xsi:type="dcterms:W3CDTF">2001-11-14T15:48:00Z</dcterms:modified>
  <cp:revision>6</cp:revision>
  <dc:subject/>
  <dc:title>SPECIAL PROVISIONS</dc:title>
</cp:coreProperties>
</file>