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pPr>
      <w:r>
        <w:rPr/>
        <w:object w:dxaOrig="4440" w:dyaOrig="319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8.3pt;height:91.65pt" filled="f" o:ole="">
            <v:imagedata r:id="rId3" o:title=""/>
          </v:shape>
          <o:OLEObject Type="Embed" ProgID="" ShapeID="ole_rId2" DrawAspect="Content" ObjectID="_1781092668" r:id="rId2"/>
        </w:object>
      </w:r>
    </w:p>
    <w:p>
      <w:pPr>
        <w:pStyle w:val="Normal"/>
        <w:jc w:val="center"/>
        <w:rPr/>
      </w:pPr>
      <w:r>
        <w:rPr>
          <w:sz w:val="20"/>
        </w:rPr>
        <w:t>805 Third Avenue, 8</w:t>
      </w:r>
      <w:r>
        <w:rPr>
          <w:sz w:val="20"/>
          <w:vertAlign w:val="superscript"/>
        </w:rPr>
        <w:t>th</w:t>
      </w:r>
      <w:r>
        <w:rPr>
          <w:sz w:val="20"/>
        </w:rPr>
        <w:t xml:space="preserve"> Floor, New York, New York 10022</w:t>
      </w:r>
    </w:p>
    <w:p>
      <w:pPr>
        <w:pStyle w:val="Normal"/>
        <w:jc w:val="center"/>
        <w:rPr>
          <w:sz w:val="20"/>
        </w:rPr>
      </w:pPr>
      <w:r>
        <w:rPr>
          <w:sz w:val="20"/>
        </w:rPr>
        <w:t>Telephone: (646) 735-8860</w:t>
      </w:r>
    </w:p>
    <w:p>
      <w:pPr>
        <w:pStyle w:val="Normal"/>
        <w:jc w:val="center"/>
        <w:rPr>
          <w:sz w:val="20"/>
        </w:rPr>
      </w:pPr>
      <w:r>
        <w:rPr>
          <w:sz w:val="20"/>
        </w:rPr>
        <w:t>Fax: (646) 735-8888</w:t>
      </w:r>
    </w:p>
    <w:p>
      <w:pPr>
        <w:pStyle w:val="Normal"/>
        <w:jc w:val="center"/>
        <w:rPr>
          <w:sz w:val="20"/>
        </w:rPr>
      </w:pPr>
      <w:r>
        <w:rPr>
          <w:sz w:val="20"/>
        </w:rPr>
      </w:r>
    </w:p>
    <w:p>
      <w:pPr>
        <w:pStyle w:val="Normal"/>
        <w:rPr>
          <w:sz w:val="20"/>
        </w:rPr>
      </w:pPr>
      <w:r>
        <w:rPr>
          <w:sz w:val="20"/>
        </w:rPr>
      </w:r>
    </w:p>
    <w:p>
      <w:pPr>
        <w:pStyle w:val="Normal"/>
        <w:rPr/>
      </w:pPr>
      <w:r>
        <w:rPr/>
      </w:r>
    </w:p>
    <w:p>
      <w:pPr>
        <w:pStyle w:val="Normal"/>
        <w:rPr>
          <w:rFonts w:ascii="Garamond" w:hAnsi="Garamond" w:cs="Garamond"/>
        </w:rPr>
      </w:pPr>
      <w:r>
        <w:rPr>
          <w:rFonts w:cs="Garamond" w:ascii="Garamond" w:hAnsi="Garamond"/>
        </w:rPr>
      </w:r>
    </w:p>
    <w:p>
      <w:pPr>
        <w:pStyle w:val="Normal"/>
        <w:jc w:val="both"/>
        <w:rPr>
          <w:rFonts w:ascii="Garamond" w:hAnsi="Garamond" w:cs="Garamond"/>
          <w:sz w:val="22"/>
        </w:rPr>
      </w:pPr>
      <w:r>
        <w:rPr>
          <w:rFonts w:cs="Garamond" w:ascii="Garamond" w:hAnsi="Garamond"/>
          <w:sz w:val="22"/>
        </w:rPr>
        <w:t>The company develops, builds and operates electric-generating facilities fueled primarily by clean natural gas and renewable resources, such as wind, sun and water. With some of the top-performing power plants in the nation, the company’s portfolio has a generating capacity of more than 4,400 megawatts. The company operates more than 70 energy-generating facilities in 12 states across the U.S. and is the nation’s leader in wind energy generation. New projects will add more than 5,600 megawatts to the company’s  portfolio by the end of 2003. Many of these projects are currently under construction.</w:t>
      </w:r>
    </w:p>
    <w:p>
      <w:pPr>
        <w:pStyle w:val="Normal"/>
        <w:jc w:val="both"/>
        <w:rPr>
          <w:rFonts w:ascii="Garamond" w:hAnsi="Garamond" w:cs="Garamond"/>
          <w:sz w:val="22"/>
        </w:rPr>
      </w:pPr>
      <w:r>
        <w:rPr>
          <w:rFonts w:cs="Garamond" w:ascii="Garamond" w:hAnsi="Garamond"/>
          <w:sz w:val="22"/>
        </w:rPr>
      </w:r>
    </w:p>
    <w:p>
      <w:pPr>
        <w:pStyle w:val="Normal"/>
        <w:jc w:val="both"/>
        <w:rPr>
          <w:rFonts w:ascii="Garamond" w:hAnsi="Garamond" w:cs="Garamond"/>
          <w:sz w:val="22"/>
        </w:rPr>
      </w:pPr>
      <w:r>
        <w:drawing>
          <wp:anchor behindDoc="0" distT="0" distB="0" distL="114935" distR="114935" simplePos="0" locked="0" layoutInCell="0" allowOverlap="1" relativeHeight="3">
            <wp:simplePos x="0" y="0"/>
            <wp:positionH relativeFrom="column">
              <wp:posOffset>0</wp:posOffset>
            </wp:positionH>
            <wp:positionV relativeFrom="paragraph">
              <wp:posOffset>635</wp:posOffset>
            </wp:positionV>
            <wp:extent cx="13335" cy="63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4"/>
                    <a:srcRect l="-2147483648" t="-2147483648" r="-2147483648" b="-2147483648"/>
                    <a:stretch>
                      <a:fillRect/>
                    </a:stretch>
                  </pic:blipFill>
                  <pic:spPr bwMode="auto">
                    <a:xfrm>
                      <a:off x="0" y="0"/>
                      <a:ext cx="13335" cy="635"/>
                    </a:xfrm>
                    <a:prstGeom prst="rect">
                      <a:avLst/>
                    </a:prstGeom>
                    <a:noFill/>
                  </pic:spPr>
                </pic:pic>
              </a:graphicData>
            </a:graphic>
          </wp:anchor>
        </w:drawing>
      </w:r>
      <w:r>
        <w:rPr>
          <w:rFonts w:cs="Garamond" w:ascii="Garamond" w:hAnsi="Garamond"/>
          <w:sz w:val="22"/>
        </w:rPr>
        <w:t>With world-class operational skills upon which to draw, the company maximizes the value of its growing assets by utilizing the best practices that their industry-leading positions in:</w:t>
      </w:r>
    </w:p>
    <w:p>
      <w:pPr>
        <w:pStyle w:val="Normal"/>
        <w:numPr>
          <w:ilvl w:val="0"/>
          <w:numId w:val="1"/>
        </w:numPr>
        <w:jc w:val="both"/>
        <w:rPr>
          <w:rFonts w:ascii="Garamond" w:hAnsi="Garamond" w:cs="Garamond"/>
          <w:sz w:val="22"/>
        </w:rPr>
      </w:pPr>
      <w:r>
        <w:rPr>
          <w:rFonts w:cs="Garamond" w:ascii="Garamond" w:hAnsi="Garamond"/>
          <w:sz w:val="22"/>
        </w:rPr>
        <w:t xml:space="preserve">Power plant availability -- ranked #1, with fossil plants reaching an all-time high of 95% in 2000, well above the industry average. </w:t>
      </w:r>
    </w:p>
    <w:p>
      <w:pPr>
        <w:pStyle w:val="Normal"/>
        <w:numPr>
          <w:ilvl w:val="0"/>
          <w:numId w:val="1"/>
        </w:numPr>
        <w:jc w:val="both"/>
        <w:rPr>
          <w:rFonts w:ascii="Garamond" w:hAnsi="Garamond" w:cs="Garamond"/>
          <w:sz w:val="22"/>
        </w:rPr>
      </w:pPr>
      <w:r>
        <w:rPr>
          <w:rFonts w:cs="Garamond" w:ascii="Garamond" w:hAnsi="Garamond"/>
          <w:sz w:val="22"/>
        </w:rPr>
        <w:t xml:space="preserve">Cost containment -- operating and maintenance expenses down 40% over the past decade. </w:t>
      </w:r>
    </w:p>
    <w:p>
      <w:pPr>
        <w:pStyle w:val="Normal"/>
        <w:jc w:val="both"/>
        <w:rPr>
          <w:rFonts w:ascii="Garamond" w:hAnsi="Garamond" w:cs="Garamond"/>
          <w:sz w:val="22"/>
        </w:rPr>
      </w:pPr>
      <w:r>
        <w:rPr>
          <w:rFonts w:cs="Garamond" w:ascii="Garamond" w:hAnsi="Garamond"/>
          <w:sz w:val="22"/>
        </w:rPr>
      </w:r>
    </w:p>
    <w:p>
      <w:pPr>
        <w:pStyle w:val="Normal"/>
        <w:jc w:val="both"/>
        <w:rPr>
          <w:rFonts w:ascii="Garamond" w:hAnsi="Garamond" w:cs="Garamond"/>
          <w:sz w:val="22"/>
        </w:rPr>
      </w:pPr>
      <w:r>
        <w:rPr>
          <w:rFonts w:cs="Garamond" w:ascii="Garamond" w:hAnsi="Garamond"/>
          <w:sz w:val="22"/>
        </w:rPr>
        <w:t>The company leverages its expertise in project development and construction of both natural gas and wind generating facilities with power generation expertise and energy marketing and trading skills.</w:t>
      </w:r>
    </w:p>
    <w:p>
      <w:pPr>
        <w:pStyle w:val="Normal"/>
        <w:jc w:val="both"/>
        <w:rPr>
          <w:rFonts w:ascii="Garamond" w:hAnsi="Garamond" w:cs="Garamond"/>
          <w:sz w:val="22"/>
        </w:rPr>
      </w:pPr>
      <w:r>
        <w:rPr>
          <w:rFonts w:cs="Garamond" w:ascii="Garamond" w:hAnsi="Garamond"/>
          <w:sz w:val="22"/>
        </w:rPr>
      </w:r>
    </w:p>
    <w:p>
      <w:pPr>
        <w:pStyle w:val="Normal"/>
        <w:jc w:val="both"/>
        <w:rPr>
          <w:rFonts w:ascii="Garamond" w:hAnsi="Garamond" w:cs="Garamond"/>
          <w:sz w:val="22"/>
        </w:rPr>
      </w:pPr>
      <w:r>
        <w:rPr>
          <w:rFonts w:cs="Garamond" w:ascii="Garamond" w:hAnsi="Garamond"/>
          <w:sz w:val="22"/>
        </w:rPr>
        <w:t xml:space="preserve">Energy marketing and trading expertise allow the company to better leverage fuel procurement and trading of both fuel and electricity. The company’s combined operations provide significant scale. </w:t>
      </w:r>
    </w:p>
    <w:p>
      <w:pPr>
        <w:pStyle w:val="Normal"/>
        <w:jc w:val="both"/>
        <w:rPr>
          <w:rFonts w:ascii="Garamond" w:hAnsi="Garamond" w:cs="Garamond"/>
          <w:sz w:val="22"/>
        </w:rPr>
      </w:pPr>
      <w:r>
        <w:rPr>
          <w:rFonts w:cs="Garamond" w:ascii="Garamond" w:hAnsi="Garamond"/>
          <w:sz w:val="22"/>
        </w:rPr>
      </w:r>
    </w:p>
    <w:p>
      <w:pPr>
        <w:pStyle w:val="Normal"/>
        <w:numPr>
          <w:ilvl w:val="0"/>
          <w:numId w:val="1"/>
        </w:numPr>
        <w:jc w:val="both"/>
        <w:rPr>
          <w:rFonts w:ascii="Garamond" w:hAnsi="Garamond" w:cs="Garamond"/>
          <w:sz w:val="22"/>
        </w:rPr>
      </w:pPr>
      <w:r>
        <w:rPr>
          <w:rFonts w:cs="Garamond" w:ascii="Garamond" w:hAnsi="Garamond"/>
          <w:sz w:val="22"/>
        </w:rPr>
        <w:t xml:space="preserve">Overall, the company is  one of the largest users of natural gas in North America -- 1.5 to 2.5 billion cubic feet per day. </w:t>
      </w:r>
    </w:p>
    <w:p>
      <w:pPr>
        <w:pStyle w:val="Normal"/>
        <w:numPr>
          <w:ilvl w:val="0"/>
          <w:numId w:val="1"/>
        </w:numPr>
        <w:jc w:val="both"/>
        <w:rPr>
          <w:rFonts w:ascii="Garamond" w:hAnsi="Garamond" w:cs="Garamond"/>
          <w:sz w:val="22"/>
        </w:rPr>
      </w:pPr>
      <w:r>
        <w:rPr>
          <w:rFonts w:cs="Garamond" w:ascii="Garamond" w:hAnsi="Garamond"/>
          <w:sz w:val="22"/>
        </w:rPr>
        <w:t xml:space="preserve">The company is among the top five oil users in North America at 30 million barrels per year. </w:t>
      </w:r>
    </w:p>
    <w:p>
      <w:pPr>
        <w:pStyle w:val="Normal"/>
        <w:numPr>
          <w:ilvl w:val="0"/>
          <w:numId w:val="1"/>
        </w:numPr>
        <w:jc w:val="both"/>
        <w:rPr>
          <w:rFonts w:ascii="Garamond" w:hAnsi="Garamond" w:cs="Garamond"/>
          <w:sz w:val="22"/>
        </w:rPr>
      </w:pPr>
      <w:r>
        <w:rPr>
          <w:rFonts w:cs="Garamond" w:ascii="Garamond" w:hAnsi="Garamond"/>
          <w:sz w:val="22"/>
        </w:rPr>
        <w:t xml:space="preserve">The company manages one of the largest natural gas and residual oil portfolios in the U.S. </w:t>
      </w:r>
    </w:p>
    <w:p>
      <w:pPr>
        <w:pStyle w:val="Normal"/>
        <w:numPr>
          <w:ilvl w:val="0"/>
          <w:numId w:val="1"/>
        </w:numPr>
        <w:jc w:val="both"/>
        <w:rPr>
          <w:rFonts w:ascii="Garamond" w:hAnsi="Garamond" w:cs="Garamond"/>
          <w:sz w:val="22"/>
        </w:rPr>
      </w:pPr>
      <w:r>
        <w:rPr>
          <w:rFonts w:cs="Garamond" w:ascii="Garamond" w:hAnsi="Garamond"/>
          <w:sz w:val="22"/>
        </w:rPr>
        <w:t xml:space="preserve">In terms of physical volume, the company is one of the top 10 power marketers nationwide. </w:t>
      </w:r>
    </w:p>
    <w:p>
      <w:pPr>
        <w:pStyle w:val="Normal"/>
        <w:numPr>
          <w:ilvl w:val="0"/>
          <w:numId w:val="1"/>
        </w:numPr>
        <w:jc w:val="both"/>
        <w:rPr>
          <w:rFonts w:ascii="Garamond" w:hAnsi="Garamond" w:cs="Garamond"/>
          <w:sz w:val="22"/>
        </w:rPr>
      </w:pPr>
      <w:r>
        <w:rPr>
          <w:rFonts w:cs="Garamond" w:ascii="Garamond" w:hAnsi="Garamond"/>
          <w:sz w:val="22"/>
        </w:rPr>
        <w:t xml:space="preserve">The company’s trading organizations managed $3.3 billion in transactions in 2000. </w:t>
      </w:r>
    </w:p>
    <w:p>
      <w:pPr>
        <w:pStyle w:val="Normal"/>
        <w:jc w:val="both"/>
        <w:rPr>
          <w:rFonts w:ascii="Garamond" w:hAnsi="Garamond" w:cs="Garamond"/>
          <w:sz w:val="22"/>
        </w:rPr>
      </w:pPr>
      <w:r>
        <w:rPr>
          <w:rFonts w:cs="Garamond" w:ascii="Garamond" w:hAnsi="Garamond"/>
          <w:sz w:val="22"/>
        </w:rPr>
      </w:r>
    </w:p>
    <w:p>
      <w:pPr>
        <w:pStyle w:val="Normal"/>
        <w:jc w:val="both"/>
        <w:rPr>
          <w:rFonts w:ascii="Garamond" w:hAnsi="Garamond" w:cs="Garamond"/>
          <w:sz w:val="22"/>
        </w:rPr>
      </w:pPr>
      <w:r>
        <w:rPr>
          <w:rFonts w:cs="Garamond" w:ascii="Garamond" w:hAnsi="Garamond"/>
          <w:sz w:val="22"/>
        </w:rPr>
      </w:r>
    </w:p>
    <w:p>
      <w:pPr>
        <w:pStyle w:val="Normal"/>
        <w:jc w:val="both"/>
        <w:rPr>
          <w:rFonts w:ascii="Garamond" w:hAnsi="Garamond" w:cs="Garamond"/>
          <w:sz w:val="22"/>
        </w:rPr>
      </w:pPr>
      <w:r>
        <w:rPr>
          <w:rFonts w:cs="Garamond" w:ascii="Garamond" w:hAnsi="Garamond"/>
          <w:sz w:val="22"/>
        </w:rPr>
        <w:t>Additionally the company’s  diverse fuel mix and regional asset concentration give it significant flexibility in energy marketing and trading.</w:t>
      </w:r>
    </w:p>
    <w:p>
      <w:pPr>
        <w:pStyle w:val="Normal"/>
        <w:jc w:val="both"/>
        <w:rPr>
          <w:rFonts w:ascii="Garamond" w:hAnsi="Garamond" w:cs="Garamond"/>
          <w:sz w:val="22"/>
        </w:rPr>
      </w:pPr>
      <w:r>
        <w:rPr>
          <w:rFonts w:cs="Garamond" w:ascii="Garamond" w:hAnsi="Garamond"/>
          <w:sz w:val="22"/>
        </w:rPr>
      </w:r>
    </w:p>
    <w:p>
      <w:pPr>
        <w:pStyle w:val="Normal"/>
        <w:rPr>
          <w:b/>
          <w:sz w:val="22"/>
        </w:rPr>
      </w:pPr>
      <w:r>
        <w:rPr>
          <w:b/>
          <w:sz w:val="22"/>
        </w:rPr>
        <w:t>The Position:</w:t>
      </w:r>
      <w:r>
        <w:rPr>
          <w:sz w:val="22"/>
        </w:rPr>
        <w:t xml:space="preserve"> Utilizes knowledge of wholesale market, trading products, regional forward price curves, risk management, pricing strategies, energy supply, transmission/transportation and physical assets to execute/facilitate transactions. Executes physical transactions, including physical options and swaps, and third party trades off PMI assets and published trading hubs. Develops and structures products and services for purchases and sales of energy, including complex cross commodity transactions.</w:t>
      </w:r>
    </w:p>
    <w:p>
      <w:pPr>
        <w:pStyle w:val="Normal"/>
        <w:rPr>
          <w:b/>
          <w:sz w:val="22"/>
        </w:rPr>
      </w:pPr>
      <w:r>
        <w:rPr>
          <w:b/>
          <w:sz w:val="22"/>
        </w:rPr>
      </w:r>
    </w:p>
    <w:p>
      <w:pPr>
        <w:pStyle w:val="Normal"/>
        <w:rPr/>
      </w:pPr>
      <w:r>
        <w:rPr>
          <w:b/>
          <w:sz w:val="22"/>
        </w:rPr>
        <w:t>Position Requirements:</w:t>
      </w:r>
      <w:r>
        <w:rPr>
          <w:sz w:val="22"/>
        </w:rPr>
        <w:t xml:space="preserve"> Bachelor's degree in business or technical field and Master's degree, along with five (5) year's experience in fuels, power marketing, energy trading or equivalent experience.</w:t>
        <w:br/>
        <w:t xml:space="preserve"> </w:t>
        <w:br/>
      </w:r>
      <w:r>
        <w:rPr>
          <w:b/>
          <w:sz w:val="22"/>
        </w:rPr>
        <w:t>Competencies:</w:t>
      </w:r>
      <w:r>
        <w:rPr>
          <w:sz w:val="22"/>
        </w:rPr>
        <w:t xml:space="preserve"> Interacts effectively with other disciplines, companies, marketers, transporters, regulators and suppliers. Analyzes changing market conditions and initiates response with minimum supervision. Takes responsibility for recommendations.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mond (W1)">
    <w:charset w:val="00" w:characterSet="windows-1252"/>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mond (W1)" w:hAnsi="Garmond (W1)" w:eastAsia="Times New Roman" w:cs="Garmond (W1)"/>
      <w:color w:val="auto"/>
      <w:sz w:val="24"/>
      <w:szCs w:val="24"/>
      <w:lang w:val="en-US" w:bidi="ar-SA" w:eastAsia="zh-CN"/>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file:///mnt/main-storage/datasets/enron-docs/images/blank.gif"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2001-11-21T18:01:00Z</dcterms:created>
  <dc:creator>Unknown User</dc:creator>
  <dc:description/>
  <dc:language>en-CA</dc:language>
  <cp:lastModifiedBy>James R. Eustis Jr.</cp:lastModifiedBy>
  <cp:lastPrinted>2001-10-18T10:58:00Z</cp:lastPrinted>
  <dcterms:modified xsi:type="dcterms:W3CDTF">2001-11-21T18:01:00Z</dcterms:modified>
  <cp:revision>2</cp:revision>
  <dc:subject/>
  <dc:title> </dc:title>
</cp:coreProperties>
</file>