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Heading1"/>
        <w:ind w:hanging="0" w:start="0"/>
        <w:rPr/>
      </w:pPr>
      <w:r>
        <w:rPr/>
        <w:t>Proprietary Trading in Spanish Listed Equities</w:t>
      </w:r>
    </w:p>
    <w:p>
      <w:pPr>
        <w:pStyle w:val="Normal"/>
        <w:rPr>
          <w:b/>
          <w:sz w:val="22"/>
        </w:rPr>
      </w:pPr>
      <w:r>
        <w:rPr>
          <w:b/>
          <w:sz w:val="22"/>
        </w:rPr>
      </w:r>
    </w:p>
    <w:p>
      <w:pPr>
        <w:pStyle w:val="Normal"/>
        <w:rPr>
          <w:sz w:val="22"/>
        </w:rPr>
      </w:pPr>
      <w:r>
        <w:rPr>
          <w:sz w:val="22"/>
        </w:rPr>
        <w:t xml:space="preserve">We seek your advice in relation to a proposed expansion of the business of ECT Investments Inc. (“ECTII”), a U.S. company in the Enron group whose principal place of business is located in Houston, Texas.  At present, ECTII undertakes trading on a proprietary basis in United States equities in the energy and utilities sectors.  ECTII is authorised in the United States by the Securities and Exchange Commission pursuant to the Securities Exchange Act, 1934 to carry on these activities.  </w:t>
      </w:r>
    </w:p>
    <w:p>
      <w:pPr>
        <w:pStyle w:val="Normal"/>
        <w:rPr>
          <w:sz w:val="22"/>
        </w:rPr>
      </w:pPr>
      <w:r>
        <w:rPr>
          <w:sz w:val="22"/>
        </w:rPr>
      </w:r>
    </w:p>
    <w:p>
      <w:pPr>
        <w:pStyle w:val="Normal"/>
        <w:rPr>
          <w:sz w:val="22"/>
        </w:rPr>
      </w:pPr>
      <w:r>
        <w:rPr>
          <w:sz w:val="22"/>
        </w:rPr>
        <w:t>We are currently exploring the possibility of expanding this business, so that ECTII would carry out trades (again on a proprietary basis) in Spanish-listed equities in the energy and utilities sectors.  All trading activities would continue to be carried out from ECTII in the U.S. through authorised brokers in Spain.  The current proposals envisage that the volume and frequency of trades may both be fairly high, potentially at about the level of trades carried out by an institutional investor on a daily (or more frequent) basis.</w:t>
      </w:r>
    </w:p>
    <w:p>
      <w:pPr>
        <w:pStyle w:val="Normal"/>
        <w:rPr>
          <w:sz w:val="22"/>
        </w:rPr>
      </w:pPr>
      <w:r>
        <w:rPr>
          <w:sz w:val="22"/>
        </w:rPr>
      </w:r>
    </w:p>
    <w:p>
      <w:pPr>
        <w:pStyle w:val="Normal"/>
        <w:rPr>
          <w:sz w:val="22"/>
        </w:rPr>
      </w:pPr>
      <w:r>
        <w:rPr>
          <w:sz w:val="22"/>
        </w:rPr>
        <w:t>The issues on which we would like your advice relate to the Spanish regulatory requirements or restrictions which would apply were the business expanded in this way.  In particular:</w:t>
      </w:r>
    </w:p>
    <w:p>
      <w:pPr>
        <w:pStyle w:val="Normal"/>
        <w:rPr>
          <w:sz w:val="22"/>
        </w:rPr>
      </w:pPr>
      <w:r>
        <w:rPr>
          <w:sz w:val="22"/>
        </w:rPr>
      </w:r>
    </w:p>
    <w:p>
      <w:pPr>
        <w:pStyle w:val="Normal"/>
        <w:numPr>
          <w:ilvl w:val="0"/>
          <w:numId w:val="2"/>
        </w:numPr>
        <w:rPr>
          <w:sz w:val="22"/>
        </w:rPr>
      </w:pPr>
      <w:r>
        <w:rPr>
          <w:sz w:val="22"/>
        </w:rPr>
        <w:t>Would ECTII require any form of authorisation or licence from the Spanish regulators to carry out proprietary trades in Spanish-listed equities?</w:t>
      </w:r>
    </w:p>
    <w:p>
      <w:pPr>
        <w:pStyle w:val="Normal"/>
        <w:rPr>
          <w:sz w:val="22"/>
        </w:rPr>
      </w:pPr>
      <w:r>
        <w:rPr>
          <w:sz w:val="22"/>
        </w:rPr>
      </w:r>
    </w:p>
    <w:p>
      <w:pPr>
        <w:pStyle w:val="Normal"/>
        <w:numPr>
          <w:ilvl w:val="0"/>
          <w:numId w:val="2"/>
        </w:numPr>
        <w:rPr>
          <w:sz w:val="22"/>
        </w:rPr>
      </w:pPr>
      <w:r>
        <w:rPr>
          <w:sz w:val="22"/>
        </w:rPr>
        <w:t>Would any Spanish conduct of business rules apply to the proposed operations and, if so, what are they?</w:t>
      </w:r>
    </w:p>
    <w:p>
      <w:pPr>
        <w:pStyle w:val="Normal"/>
        <w:rPr>
          <w:sz w:val="22"/>
        </w:rPr>
      </w:pPr>
      <w:r>
        <w:rPr>
          <w:sz w:val="22"/>
        </w:rPr>
      </w:r>
    </w:p>
    <w:p>
      <w:pPr>
        <w:pStyle w:val="Normal"/>
        <w:numPr>
          <w:ilvl w:val="0"/>
          <w:numId w:val="2"/>
        </w:numPr>
        <w:rPr>
          <w:sz w:val="22"/>
        </w:rPr>
      </w:pPr>
      <w:r>
        <w:rPr>
          <w:sz w:val="22"/>
        </w:rPr>
        <w:t>Are there any restrictions which would, for example, limit the permitted holdings of  a U.S. entity in Spanish-listed companies.?</w:t>
      </w:r>
    </w:p>
    <w:p>
      <w:pPr>
        <w:pStyle w:val="Normal"/>
        <w:rPr>
          <w:sz w:val="22"/>
        </w:rPr>
      </w:pPr>
      <w:r>
        <w:rPr>
          <w:sz w:val="22"/>
        </w:rPr>
      </w:r>
    </w:p>
    <w:p>
      <w:pPr>
        <w:pStyle w:val="Normal"/>
        <w:numPr>
          <w:ilvl w:val="0"/>
          <w:numId w:val="2"/>
        </w:numPr>
        <w:rPr>
          <w:sz w:val="22"/>
        </w:rPr>
      </w:pPr>
      <w:r>
        <w:rPr>
          <w:sz w:val="22"/>
        </w:rPr>
        <w:t>Are there any notification requirements which would apply on acquisitions above a certain threshold?</w:t>
      </w:r>
    </w:p>
    <w:p>
      <w:pPr>
        <w:pStyle w:val="Normal"/>
        <w:rPr>
          <w:sz w:val="22"/>
        </w:rPr>
      </w:pPr>
      <w:r>
        <w:rPr>
          <w:sz w:val="22"/>
        </w:rPr>
      </w:r>
    </w:p>
    <w:p>
      <w:pPr>
        <w:pStyle w:val="Normal"/>
        <w:numPr>
          <w:ilvl w:val="0"/>
          <w:numId w:val="2"/>
        </w:numPr>
        <w:rPr>
          <w:sz w:val="22"/>
        </w:rPr>
      </w:pPr>
      <w:r>
        <w:rPr>
          <w:sz w:val="22"/>
        </w:rPr>
        <w:t xml:space="preserve">Are there any Spanish laws and/or regulations on insider-dealing in Spanish-listed equities with which ECTII would have to comply and, if so, what are they?  If there are, are there any exemptions (such as maintenance of adequate “Chinese Walls”) which would nevertheless allow ECTII still to trade Spanish-listed equities of an issuer even if an affiliate if, or division of, ECTII had confidential or non-public or price-sensitive information on such issuer? </w:t>
      </w:r>
    </w:p>
    <w:p>
      <w:pPr>
        <w:pStyle w:val="Normal"/>
        <w:rPr>
          <w:sz w:val="22"/>
        </w:rPr>
      </w:pPr>
      <w:r>
        <w:rPr>
          <w:sz w:val="22"/>
        </w:rPr>
      </w:r>
    </w:p>
    <w:p>
      <w:pPr>
        <w:pStyle w:val="Normal"/>
        <w:numPr>
          <w:ilvl w:val="0"/>
          <w:numId w:val="2"/>
        </w:numPr>
        <w:rPr>
          <w:sz w:val="22"/>
        </w:rPr>
      </w:pPr>
      <w:r>
        <w:rPr>
          <w:sz w:val="22"/>
        </w:rPr>
        <w:t>Are there any other regulatory requirements or restrictions under the Spanish regulatory system?</w:t>
      </w:r>
    </w:p>
    <w:p>
      <w:pPr>
        <w:pStyle w:val="Normal"/>
        <w:rPr>
          <w:sz w:val="22"/>
        </w:rPr>
      </w:pPr>
      <w:r>
        <w:rPr>
          <w:sz w:val="22"/>
        </w:rPr>
      </w:r>
    </w:p>
    <w:p>
      <w:pPr>
        <w:pStyle w:val="Normal"/>
        <w:rPr>
          <w:sz w:val="22"/>
        </w:rPr>
      </w:pPr>
      <w:r>
        <w:rPr>
          <w:sz w:val="22"/>
        </w:rPr>
      </w:r>
    </w:p>
    <w:p>
      <w:pPr>
        <w:pStyle w:val="Normal"/>
        <w:rPr/>
      </w:pPr>
      <w:r>
        <w:rPr>
          <w:b/>
          <w:sz w:val="22"/>
        </w:rPr>
        <w:t>Mark Elliott</w:t>
        <w:tab/>
        <w:tab/>
        <w:tab/>
        <w:tab/>
        <w:tab/>
        <w:tab/>
        <w:tab/>
        <w:tab/>
        <w:t>2</w:t>
      </w:r>
      <w:r>
        <w:rPr>
          <w:b/>
          <w:sz w:val="22"/>
          <w:vertAlign w:val="superscript"/>
        </w:rPr>
        <w:t>nd</w:t>
      </w:r>
      <w:r>
        <w:rPr>
          <w:b/>
          <w:sz w:val="22"/>
        </w:rPr>
        <w:t xml:space="preserve"> February, 1999</w:t>
        <w:br/>
        <w:t>Senior Legal Advisor</w:t>
        <w:br/>
        <w:t>Enron Europe Limited</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legal\MElliott\General\Spain–Eqs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1999-02-02T06:37:00Z</dcterms:created>
  <dc:creator>NBeales</dc:creator>
  <dc:description/>
  <dc:language>en-CA</dc:language>
  <cp:lastModifiedBy>NBeales</cp:lastModifiedBy>
  <cp:lastPrinted>1999-02-02T09:11:00Z</cp:lastPrinted>
  <dcterms:modified xsi:type="dcterms:W3CDTF">1999-02-02T06:41:00Z</dcterms:modified>
  <cp:revision>3</cp:revision>
  <dc:subject/>
  <dc:title>[DATE]</dc:title>
</cp:coreProperties>
</file>