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Southwest Power Pool RTO Update</w:t>
      </w:r>
    </w:p>
    <w:p>
      <w:pPr>
        <w:pStyle w:val="Normal"/>
        <w:rPr/>
      </w:pPr>
      <w:r>
        <w:rPr/>
      </w:r>
    </w:p>
    <w:p>
      <w:pPr>
        <w:pStyle w:val="Normal"/>
        <w:rPr/>
      </w:pPr>
      <w:r>
        <w:rPr/>
      </w:r>
    </w:p>
    <w:p>
      <w:pPr>
        <w:pStyle w:val="Normal"/>
        <w:numPr>
          <w:ilvl w:val="0"/>
          <w:numId w:val="3"/>
        </w:numPr>
        <w:rPr>
          <w:b/>
          <w:bCs/>
        </w:rPr>
      </w:pPr>
      <w:r>
        <w:rPr>
          <w:b/>
          <w:bCs/>
        </w:rPr>
        <w:t>Summary</w:t>
      </w:r>
    </w:p>
    <w:p>
      <w:pPr>
        <w:pStyle w:val="Normal"/>
        <w:rPr>
          <w:b/>
          <w:bCs/>
        </w:rPr>
      </w:pPr>
      <w:r>
        <w:rPr>
          <w:b/>
          <w:bCs/>
        </w:rPr>
      </w:r>
    </w:p>
    <w:p>
      <w:pPr>
        <w:pStyle w:val="Normal"/>
        <w:jc w:val="both"/>
        <w:rPr/>
      </w:pPr>
      <w:r>
        <w:rPr/>
        <w:t>SPP is progressing towards the “Day 1” market that is scheduled to begin operation on December 15, 2001.  There has been some mention of delaying the start date until after January 1</w:t>
      </w:r>
      <w:r>
        <w:rPr>
          <w:vertAlign w:val="superscript"/>
        </w:rPr>
        <w:t>st</w:t>
      </w:r>
      <w:r>
        <w:rPr/>
        <w:t xml:space="preserve"> on the basis that the holiday periods at the end of the year may create some problems for the new “market.”  From all available information the delay is not being suggested because of the inability to get the market up and running on time.  Regardless of start date, the “Day 1” market does not represent a substantial change to existing practices.  The Market Settlement Working Group (MSWG) working in conjunction with SPP Staff has carried out the design for this stage of the market, as well as the oversight of the development/implementation process.  The MSWG was essentially tasked (by the Commercial Practices Committee) with meeting the requirements of Order 2000 with the minimum amount of changes to the existing structure.</w:t>
      </w:r>
    </w:p>
    <w:p>
      <w:pPr>
        <w:pStyle w:val="Normal"/>
        <w:jc w:val="both"/>
        <w:rPr/>
      </w:pPr>
      <w:r>
        <w:rPr/>
      </w:r>
    </w:p>
    <w:p>
      <w:pPr>
        <w:pStyle w:val="Normal"/>
        <w:jc w:val="both"/>
        <w:rPr/>
      </w:pPr>
      <w:r>
        <w:rPr/>
        <w:t>The design of the “Day 2” market – expected to be operational on December 15, 2002 – is being carried out largely by the Congestion Management Systems Working Group (CMSWG).  The CMSWG was tasked by the Board of Directors with writing the rules for the “hybrid” market-based congestion management system that is to be implemented, per Order 2000, within one year of the formation of the RTO (i.e. by 12/15/02).  To date the CMSWG has focused exclusively on the real time and forward markets related to congestion management.  The “cornerstones”</w:t>
      </w:r>
      <w:r>
        <w:rPr>
          <w:rStyle w:val="FootnoteCharacters"/>
          <w:rStyle w:val="FootnoteReference"/>
        </w:rPr>
        <w:footnoteReference w:id="2"/>
      </w:r>
      <w:r>
        <w:rPr/>
        <w:t xml:space="preserve"> for the real time market have been accepted by the Commercial Practices Committee and will be put to a vote of the Board at a special meeting on July 17</w:t>
      </w:r>
      <w:r>
        <w:rPr>
          <w:vertAlign w:val="superscript"/>
        </w:rPr>
        <w:t>th</w:t>
      </w:r>
      <w:r>
        <w:rPr/>
        <w:t>.  Presently, the real time market designed by the CMSWG mirrors that of PJM quite closely.  While there has been considerable work on the design of the real time market (i.e. the spot market), forward market design is probably 2-3 months behind that of the real time.  Very little time or effort has been spent on the allocation of transmission rights.</w:t>
      </w:r>
    </w:p>
    <w:p>
      <w:pPr>
        <w:pStyle w:val="Normal"/>
        <w:jc w:val="both"/>
        <w:rPr/>
      </w:pPr>
      <w:r>
        <w:rPr/>
      </w:r>
    </w:p>
    <w:p>
      <w:pPr>
        <w:pStyle w:val="Normal"/>
        <w:jc w:val="both"/>
        <w:rPr/>
      </w:pPr>
      <w:r>
        <w:rPr/>
        <w:t xml:space="preserve">While FERC based their denial of RTO status on a number of reasons, Staff and the Board (as well as most members) believed that the primary reason was the lack of 203 filings on the part of most of the members.  Staff responded by working with a number of participants to meet their concerns and, as a result, most (if not all) existing SPP members have filed their 203 filings.  Some conversations were held between SPP and Southern about joining but these discussions should not be viewed as serious.  </w:t>
      </w:r>
    </w:p>
    <w:p>
      <w:pPr>
        <w:pStyle w:val="Normal"/>
        <w:jc w:val="both"/>
        <w:rPr/>
      </w:pPr>
      <w:r>
        <w:rPr/>
      </w:r>
    </w:p>
    <w:p>
      <w:pPr>
        <w:pStyle w:val="Normal"/>
        <w:jc w:val="both"/>
        <w:rPr/>
      </w:pPr>
      <w:r>
        <w:rPr/>
      </w:r>
    </w:p>
    <w:p>
      <w:pPr>
        <w:pStyle w:val="Normal"/>
        <w:numPr>
          <w:ilvl w:val="0"/>
          <w:numId w:val="3"/>
        </w:numPr>
        <w:jc w:val="both"/>
        <w:rPr>
          <w:b/>
          <w:bCs/>
        </w:rPr>
      </w:pPr>
      <w:r>
        <w:rPr>
          <w:b/>
          <w:bCs/>
        </w:rPr>
        <w:t>Important Issues</w:t>
      </w:r>
    </w:p>
    <w:p>
      <w:pPr>
        <w:pStyle w:val="Normal"/>
        <w:jc w:val="both"/>
        <w:rPr>
          <w:b/>
          <w:bCs/>
        </w:rPr>
      </w:pPr>
      <w:r>
        <w:rPr>
          <w:b/>
          <w:bCs/>
        </w:rPr>
      </w:r>
    </w:p>
    <w:p>
      <w:pPr>
        <w:pStyle w:val="Normal"/>
        <w:jc w:val="both"/>
        <w:rPr/>
      </w:pPr>
      <w:r>
        <w:rPr/>
        <w:t>The key issues that we have focused on remain as they have been for the past 6-9 months.</w:t>
      </w:r>
    </w:p>
    <w:p>
      <w:pPr>
        <w:pStyle w:val="Normal"/>
        <w:jc w:val="both"/>
        <w:rPr/>
      </w:pPr>
      <w:r>
        <w:rPr/>
      </w:r>
    </w:p>
    <w:p>
      <w:pPr>
        <w:pStyle w:val="Normal"/>
        <w:numPr>
          <w:ilvl w:val="0"/>
          <w:numId w:val="4"/>
        </w:numPr>
        <w:jc w:val="both"/>
        <w:rPr/>
      </w:pPr>
      <w:r>
        <w:rPr>
          <w:b/>
          <w:bCs/>
          <w:i/>
          <w:iCs/>
        </w:rPr>
        <w:t>Development of a real time energy market.</w:t>
      </w:r>
      <w:r>
        <w:rPr/>
        <w:t xml:space="preserve">  Pending the vote by the Board on July 17</w:t>
      </w:r>
      <w:r>
        <w:rPr>
          <w:vertAlign w:val="superscript"/>
        </w:rPr>
        <w:t>th</w:t>
      </w:r>
      <w:r>
        <w:rPr/>
        <w:t>, the work of the CMSWG can move from design to rule writing.  It is worth noting that the White Paper written by the CMSWG describing the recommended real time market in SPP has been accepted by the MISO as an appropriate starting point for their real time market.  Moreover, PUCT Staff have been regular attendees at the CMSWG meetings and recent rulings pertaining to ERCOT are consistent with the SPP design.</w:t>
      </w:r>
    </w:p>
    <w:p>
      <w:pPr>
        <w:pStyle w:val="Normal"/>
        <w:ind w:start="360" w:end="0"/>
        <w:jc w:val="both"/>
        <w:rPr/>
      </w:pPr>
      <w:r>
        <w:rPr/>
      </w:r>
    </w:p>
    <w:p>
      <w:pPr>
        <w:pStyle w:val="Normal"/>
        <w:numPr>
          <w:ilvl w:val="0"/>
          <w:numId w:val="4"/>
        </w:numPr>
        <w:jc w:val="both"/>
        <w:rPr/>
      </w:pPr>
      <w:r>
        <w:rPr>
          <w:b/>
          <w:bCs/>
          <w:i/>
          <w:iCs/>
        </w:rPr>
        <w:t>Governance.</w:t>
      </w:r>
      <w:r>
        <w:rPr/>
        <w:t xml:space="preserve">  The governance structure within the RTO remains ineffective.  At the recent Board strategic retreat this issue was discussed and highlighted.  As a result of that meeting Staff has an outstanding action item to make recommendations about how to improve the effectiveness of the decision-making structure.</w:t>
      </w:r>
    </w:p>
    <w:p>
      <w:pPr>
        <w:pStyle w:val="Normal"/>
        <w:jc w:val="both"/>
        <w:rPr/>
      </w:pPr>
      <w:r>
        <w:rPr/>
      </w:r>
    </w:p>
    <w:p>
      <w:pPr>
        <w:pStyle w:val="Normal"/>
        <w:numPr>
          <w:ilvl w:val="0"/>
          <w:numId w:val="4"/>
        </w:numPr>
        <w:jc w:val="both"/>
        <w:rPr/>
      </w:pPr>
      <w:r>
        <w:rPr>
          <w:b/>
          <w:bCs/>
          <w:i/>
          <w:iCs/>
        </w:rPr>
        <w:t xml:space="preserve">Ancillary services.  </w:t>
      </w:r>
      <w:r>
        <w:rPr/>
        <w:t>Virtually no work has been done on how ancillary services will be procured or paid for.  While an Ancillary Services Task Force (that reports to the Engineering and Operations Committee (the technical equivalent to the Commercial Practices Committee)) has been established, its purpose is to develop recommendations on the quantity of ancillary services required, not the mechanism for procurement.  The real time market design has some implications with respect to establishing an ICAP market but much work remains to be done.</w:t>
      </w:r>
    </w:p>
    <w:p>
      <w:pPr>
        <w:pStyle w:val="Normal"/>
        <w:jc w:val="both"/>
        <w:rPr/>
      </w:pPr>
      <w:r>
        <w:rPr/>
      </w:r>
    </w:p>
    <w:p>
      <w:pPr>
        <w:pStyle w:val="Normal"/>
        <w:numPr>
          <w:ilvl w:val="0"/>
          <w:numId w:val="4"/>
        </w:numPr>
        <w:jc w:val="both"/>
        <w:rPr/>
      </w:pPr>
      <w:r>
        <w:rPr>
          <w:b/>
          <w:bCs/>
          <w:i/>
          <w:iCs/>
        </w:rPr>
        <w:t>Grandfathering.</w:t>
      </w:r>
      <w:r>
        <w:rPr/>
        <w:t xml:space="preserve">  While this is not strictly an RTO issue – in that there is no appropriate forum within the RTO governance structure to debate the matter – it is perhaps the single most important issue surrounding the development of a market.  Current estimates are that approximately 8% of load will be under the tariff (excluding Entergy, which when it formally joins SPP, will have all of its load under the tariff).</w:t>
      </w:r>
    </w:p>
    <w:p>
      <w:pPr>
        <w:pStyle w:val="Normal"/>
        <w:jc w:val="both"/>
        <w:rPr/>
      </w:pPr>
      <w:r>
        <w:rPr/>
      </w:r>
    </w:p>
    <w:p>
      <w:pPr>
        <w:pStyle w:val="Normal"/>
        <w:numPr>
          <w:ilvl w:val="0"/>
          <w:numId w:val="3"/>
        </w:numPr>
        <w:jc w:val="both"/>
        <w:rPr>
          <w:b/>
          <w:bCs/>
        </w:rPr>
      </w:pPr>
      <w:r>
        <w:rPr>
          <w:b/>
          <w:bCs/>
        </w:rPr>
        <w:t>Representation</w:t>
      </w:r>
    </w:p>
    <w:p>
      <w:pPr>
        <w:pStyle w:val="Normal"/>
        <w:jc w:val="both"/>
        <w:rPr>
          <w:b/>
          <w:bCs/>
        </w:rPr>
      </w:pPr>
      <w:r>
        <w:rPr>
          <w:b/>
          <w:bCs/>
        </w:rPr>
      </w:r>
    </w:p>
    <w:p>
      <w:pPr>
        <w:pStyle w:val="Normal"/>
        <w:jc w:val="both"/>
        <w:rPr/>
      </w:pPr>
      <w:r>
        <w:rPr/>
        <w:t>Within the existing governance structure our representative (Ron McNamara) is on the following Groups or Committee</w:t>
      </w:r>
    </w:p>
    <w:p>
      <w:pPr>
        <w:pStyle w:val="Normal"/>
        <w:jc w:val="both"/>
        <w:rPr/>
      </w:pPr>
      <w:r>
        <w:rPr/>
      </w:r>
    </w:p>
    <w:p>
      <w:pPr>
        <w:pStyle w:val="Normal"/>
        <w:jc w:val="both"/>
        <w:rPr/>
      </w:pPr>
      <w:r>
        <w:rPr/>
        <w:t>SPP Board of Directors</w:t>
      </w:r>
    </w:p>
    <w:p>
      <w:pPr>
        <w:pStyle w:val="Normal"/>
        <w:jc w:val="both"/>
        <w:rPr/>
      </w:pPr>
      <w:r>
        <w:rPr/>
        <w:t>Commercial Practices Committee</w:t>
        <w:tab/>
      </w:r>
    </w:p>
    <w:p>
      <w:pPr>
        <w:pStyle w:val="Normal"/>
        <w:jc w:val="both"/>
        <w:rPr/>
      </w:pPr>
      <w:r>
        <w:rPr/>
        <w:t>Engineering and Operations Committee</w:t>
      </w:r>
    </w:p>
    <w:p>
      <w:pPr>
        <w:pStyle w:val="Normal"/>
        <w:jc w:val="both"/>
        <w:rPr/>
      </w:pPr>
      <w:r>
        <w:rPr/>
        <w:t>Members Committee</w:t>
        <w:tab/>
      </w:r>
    </w:p>
    <w:p>
      <w:pPr>
        <w:pStyle w:val="Normal"/>
        <w:jc w:val="both"/>
        <w:rPr/>
      </w:pPr>
      <w:r>
        <w:rPr/>
        <w:t>Regional Tariff Working Group</w:t>
      </w:r>
    </w:p>
    <w:p>
      <w:pPr>
        <w:pStyle w:val="Normal"/>
        <w:jc w:val="both"/>
        <w:rPr/>
      </w:pPr>
      <w:r>
        <w:rPr/>
        <w:t>Market Settlement Working Group</w:t>
      </w:r>
    </w:p>
    <w:p>
      <w:pPr>
        <w:pStyle w:val="Normal"/>
        <w:jc w:val="both"/>
        <w:rPr/>
      </w:pPr>
      <w:r>
        <w:rPr/>
        <w:t>Congestion Management Systems Working Group</w:t>
      </w:r>
    </w:p>
    <w:p>
      <w:pPr>
        <w:pStyle w:val="Normal"/>
        <w:jc w:val="both"/>
        <w:rPr/>
      </w:pPr>
      <w:r>
        <w:rPr/>
      </w:r>
    </w:p>
    <w:p>
      <w:pPr>
        <w:pStyle w:val="Normal"/>
        <w:jc w:val="both"/>
        <w:rPr>
          <w:b/>
          <w:bCs/>
        </w:rPr>
      </w:pPr>
      <w:r>
        <w:rPr>
          <w:b/>
          <w:bCs/>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odyText"/>
        <w:rPr/>
      </w:pPr>
      <w:r>
        <w:rPr>
          <w:rStyle w:val="FootnoteCharacters"/>
        </w:rPr>
        <w:footnoteRef/>
      </w:r>
      <w:r>
        <w:rPr/>
        <w:t xml:space="preserve"> </w:t>
      </w:r>
      <w:r>
        <w:rPr>
          <w:sz w:val="18"/>
        </w:rPr>
        <w:t>Under the SPP RTO real time market cornerstones, the real time coordination function should:</w:t>
      </w:r>
    </w:p>
    <w:p>
      <w:pPr>
        <w:pStyle w:val="BodyText"/>
        <w:ind w:start="360" w:end="0"/>
        <w:rPr>
          <w:sz w:val="18"/>
        </w:rPr>
      </w:pPr>
      <w:r>
        <w:rPr>
          <w:sz w:val="18"/>
        </w:rPr>
      </w:r>
    </w:p>
    <w:p>
      <w:pPr>
        <w:pStyle w:val="BodyText"/>
        <w:numPr>
          <w:ilvl w:val="0"/>
          <w:numId w:val="2"/>
        </w:numPr>
        <w:tabs>
          <w:tab w:val="clear" w:pos="720"/>
        </w:tabs>
        <w:ind w:hanging="360" w:start="360" w:end="0"/>
        <w:rPr>
          <w:iCs/>
          <w:sz w:val="18"/>
        </w:rPr>
      </w:pPr>
      <w:r>
        <w:rPr>
          <w:iCs/>
          <w:sz w:val="18"/>
        </w:rPr>
        <w:t xml:space="preserve">Support balanced/unbalanced and covered/uncovered schedules that allow load to take full advantage of spot market resources. </w:t>
      </w:r>
    </w:p>
    <w:p>
      <w:pPr>
        <w:pStyle w:val="BodyText"/>
        <w:numPr>
          <w:ilvl w:val="0"/>
          <w:numId w:val="2"/>
        </w:numPr>
        <w:tabs>
          <w:tab w:val="clear" w:pos="720"/>
        </w:tabs>
        <w:ind w:hanging="360" w:start="360" w:end="0"/>
        <w:rPr>
          <w:iCs/>
          <w:sz w:val="18"/>
        </w:rPr>
      </w:pPr>
      <w:r>
        <w:rPr>
          <w:iCs/>
          <w:sz w:val="18"/>
        </w:rPr>
        <w:t>Support forward physical transmissions rights that function as financial rights and establish priority in cases of TLR.</w:t>
      </w:r>
    </w:p>
    <w:p>
      <w:pPr>
        <w:pStyle w:val="BodyText"/>
        <w:numPr>
          <w:ilvl w:val="0"/>
          <w:numId w:val="2"/>
        </w:numPr>
        <w:tabs>
          <w:tab w:val="clear" w:pos="720"/>
        </w:tabs>
        <w:ind w:hanging="360" w:start="360" w:end="0"/>
        <w:rPr>
          <w:iCs/>
          <w:sz w:val="18"/>
        </w:rPr>
      </w:pPr>
      <w:r>
        <w:rPr>
          <w:iCs/>
          <w:sz w:val="18"/>
        </w:rPr>
        <w:t>Support real-time LMP pricing as ex post based on actual total demand and actual total generation.</w:t>
      </w:r>
    </w:p>
    <w:p>
      <w:pPr>
        <w:pStyle w:val="BodyText"/>
        <w:numPr>
          <w:ilvl w:val="0"/>
          <w:numId w:val="2"/>
        </w:numPr>
        <w:tabs>
          <w:tab w:val="clear" w:pos="720"/>
        </w:tabs>
        <w:ind w:hanging="360" w:start="360" w:end="0"/>
        <w:rPr>
          <w:iCs/>
          <w:sz w:val="18"/>
        </w:rPr>
      </w:pPr>
      <w:r>
        <w:rPr>
          <w:iCs/>
          <w:sz w:val="18"/>
        </w:rPr>
        <w:t>Support the real time market as an aggregation of bilateral and spot supplies.</w:t>
      </w:r>
    </w:p>
    <w:p>
      <w:pPr>
        <w:pStyle w:val="BodyText"/>
        <w:numPr>
          <w:ilvl w:val="0"/>
          <w:numId w:val="2"/>
        </w:numPr>
        <w:tabs>
          <w:tab w:val="clear" w:pos="720"/>
        </w:tabs>
        <w:ind w:hanging="360" w:start="360" w:end="0"/>
        <w:rPr>
          <w:iCs/>
          <w:sz w:val="18"/>
        </w:rPr>
      </w:pPr>
      <w:r>
        <w:rPr>
          <w:iCs/>
          <w:sz w:val="18"/>
        </w:rPr>
        <w:t>Support the RTO’s role as physical coordinator responsible for reliability, scheduling, dispatch, and SPP load forecasting.</w:t>
      </w:r>
    </w:p>
    <w:p>
      <w:pPr>
        <w:pStyle w:val="BodyText"/>
        <w:numPr>
          <w:ilvl w:val="0"/>
          <w:numId w:val="2"/>
        </w:numPr>
        <w:tabs>
          <w:tab w:val="clear" w:pos="720"/>
        </w:tabs>
        <w:ind w:hanging="360" w:start="360" w:end="0"/>
        <w:rPr>
          <w:iCs/>
          <w:sz w:val="18"/>
        </w:rPr>
      </w:pPr>
      <w:r>
        <w:rPr>
          <w:iCs/>
          <w:sz w:val="18"/>
        </w:rPr>
        <w:t>Minimize the RTO’s need to take a position in the real time energy markets.</w:t>
      </w:r>
    </w:p>
    <w:p>
      <w:pPr>
        <w:pStyle w:val="BodyText"/>
        <w:rPr>
          <w:iCs/>
          <w:sz w:val="18"/>
        </w:rPr>
      </w:pPr>
      <w:r>
        <w:rPr>
          <w:iCs/>
          <w:sz w:val="18"/>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decimal"/>
      <w:lvlText w:val="%1."/>
      <w:lvlJc w:val="start"/>
      <w:pPr>
        <w:tabs>
          <w:tab w:val="num" w:pos="1080"/>
        </w:tabs>
        <w:ind w:start="1080" w:hanging="720"/>
      </w:pPr>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2001-06-22T14:37:00Z</dcterms:created>
  <dc:creator>rmcnamar</dc:creator>
  <dc:description/>
  <dc:language>en-CA</dc:language>
  <cp:lastModifiedBy>rmcnamar</cp:lastModifiedBy>
  <dcterms:modified xsi:type="dcterms:W3CDTF">2001-06-22T18:49:00Z</dcterms:modified>
  <cp:revision>2</cp:revision>
  <dc:subject/>
  <dc:title>Southwest Power Pool RTO Update</dc:title>
</cp:coreProperties>
</file>