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January 2, 2001</w:t>
      </w:r>
    </w:p>
    <w:p>
      <w:pPr>
        <w:pStyle w:val="Normal"/>
        <w:rPr/>
      </w:pPr>
      <w:r>
        <w:rPr/>
        <w:t>Ms. Patricia Anderson</w:t>
      </w:r>
    </w:p>
    <w:p>
      <w:pPr>
        <w:pStyle w:val="Normal"/>
        <w:rPr/>
      </w:pPr>
      <w:r>
        <w:rPr/>
        <w:t>Gas Supply Manager – Texas/Florida</w:t>
      </w:r>
    </w:p>
    <w:p>
      <w:pPr>
        <w:pStyle w:val="Normal"/>
        <w:rPr/>
      </w:pPr>
      <w:r>
        <w:rPr/>
        <w:t>Southern Union Gas Company</w:t>
      </w:r>
    </w:p>
    <w:p>
      <w:pPr>
        <w:pStyle w:val="Normal"/>
        <w:rPr/>
      </w:pPr>
      <w:r>
        <w:rPr/>
        <w:t>504 Lavaca, Suite 800</w:t>
      </w:r>
    </w:p>
    <w:p>
      <w:pPr>
        <w:pStyle w:val="Normal"/>
        <w:rPr/>
      </w:pPr>
      <w:r>
        <w:rPr/>
        <w:t>Austin, Texas 78701</w:t>
      </w:r>
    </w:p>
    <w:p>
      <w:pPr>
        <w:pStyle w:val="Normal"/>
        <w:rPr/>
      </w:pPr>
      <w:r>
        <w:rPr/>
      </w:r>
    </w:p>
    <w:p>
      <w:pPr>
        <w:pStyle w:val="Heading1"/>
        <w:ind w:hanging="0" w:start="0"/>
        <w:rPr>
          <w:b w:val="false"/>
          <w:sz w:val="20"/>
        </w:rPr>
      </w:pPr>
      <w:r>
        <w:rPr>
          <w:b w:val="false"/>
          <w:sz w:val="20"/>
        </w:rPr>
        <w:t>Fax:  (512) 476-4966</w:t>
      </w:r>
    </w:p>
    <w:p>
      <w:pPr>
        <w:pStyle w:val="Normal"/>
        <w:rPr>
          <w:b/>
          <w:sz w:val="20"/>
        </w:rPr>
      </w:pPr>
      <w:r>
        <w:rPr>
          <w:b/>
          <w:sz w:val="20"/>
        </w:rPr>
      </w:r>
    </w:p>
    <w:p>
      <w:pPr>
        <w:pStyle w:val="Normal"/>
        <w:rPr/>
      </w:pPr>
      <w:r>
        <w:rPr/>
      </w:r>
    </w:p>
    <w:p>
      <w:pPr>
        <w:pStyle w:val="Normal"/>
        <w:rPr/>
      </w:pPr>
      <w:r>
        <w:rPr/>
        <w:t>Buyer:</w:t>
        <w:tab/>
        <w:tab/>
        <w:t>Southern Union Company</w:t>
      </w:r>
    </w:p>
    <w:p>
      <w:pPr>
        <w:pStyle w:val="Normal"/>
        <w:rPr/>
      </w:pPr>
      <w:r>
        <w:rPr/>
        <w:t>Seller:</w:t>
        <w:tab/>
        <w:tab/>
        <w:t>Enron North America</w:t>
      </w:r>
    </w:p>
    <w:p>
      <w:pPr>
        <w:pStyle w:val="Normal"/>
        <w:rPr/>
      </w:pPr>
      <w:r>
        <w:rPr/>
        <w:t>Location:</w:t>
        <w:tab/>
        <w:t>San Juan Pool</w:t>
      </w:r>
    </w:p>
    <w:p>
      <w:pPr>
        <w:pStyle w:val="Normal"/>
        <w:rPr/>
      </w:pPr>
      <w:r>
        <w:rPr/>
        <w:t>Term:</w:t>
        <w:tab/>
        <w:tab/>
        <w:t>April 01, 2001 – June 30, 2001</w:t>
      </w:r>
    </w:p>
    <w:p>
      <w:pPr>
        <w:pStyle w:val="Normal"/>
        <w:ind w:hanging="1440" w:start="1440" w:end="0"/>
        <w:rPr/>
      </w:pPr>
      <w:r>
        <w:rPr/>
        <w:t>Volume</w:t>
        <w:tab/>
        <w:t>10,000 Mmbtu’s/day nominated everyday – 5,000 Mmbtu’s/day shall be Firm and 5,000 Mmbtu’s/day will be on a “best efforts” basis.  Firm volumes are first through the meter.</w:t>
      </w:r>
    </w:p>
    <w:p>
      <w:pPr>
        <w:pStyle w:val="Normal"/>
        <w:ind w:hanging="1440" w:start="1440" w:end="0"/>
        <w:rPr/>
      </w:pPr>
      <w:r>
        <w:rPr/>
        <w:t>Nomination</w:t>
        <w:tab/>
        <w:t xml:space="preserve">Southern Union shall nominate 10,000/ Mmbtu’s/day everyday from the San Juan Pool and ENA will assign a high priority at the San Juan pool for Southern Union. </w:t>
      </w:r>
    </w:p>
    <w:p>
      <w:pPr>
        <w:pStyle w:val="Normal"/>
        <w:ind w:hanging="1440" w:start="1440" w:end="0"/>
        <w:rPr/>
      </w:pPr>
      <w:r>
        <w:rPr/>
        <w:t>Price:</w:t>
        <w:tab/>
        <w:t>5,000 Mmbtu’s/day is Firm and priced at $4.86 ( plus $.189). 5,000 Mmbtu’s/day is “Best Efforts” and priced at Gas Daily New Mexico – San Juan Basin, El Paso, Non-Bondad Midpoint + $.02.</w:t>
      </w:r>
    </w:p>
    <w:p>
      <w:pPr>
        <w:pStyle w:val="Normal"/>
        <w:ind w:hanging="1440" w:start="1440" w:end="0"/>
        <w:rPr/>
      </w:pPr>
      <w:r>
        <w:rPr/>
        <w:t>Other:</w:t>
        <w:tab/>
        <w:t xml:space="preserve">It is understood that ENA can not guarantee deliveries out of the San Juan Pool and any Firm volumes that do not flow will be charged a deficiency charge per the Enfolio firm agreement.  It is the sole responsibility of the Buyer to cause gas to flow or pay the deficiency penalty.  Best efforts gas that is nominated but does not flow will not be considered subject to the deficiency charge. </w:t>
      </w:r>
    </w:p>
    <w:p>
      <w:pPr>
        <w:pStyle w:val="Normal"/>
        <w:ind w:start="1440" w:end="0"/>
        <w:rPr/>
      </w:pPr>
      <w:r>
        <w:rPr/>
      </w:r>
    </w:p>
    <w:p>
      <w:pPr>
        <w:pStyle w:val="Normal"/>
        <w:ind w:start="1440" w:end="0"/>
        <w:rPr/>
      </w:pPr>
      <w:r>
        <w:rPr/>
        <w:t>The Firm gas volumes that are nominated under this Enfolio agreement will apply towards the 10 BCF gas sales agreement that is currently in place.</w:t>
      </w:r>
    </w:p>
    <w:tbl>
      <w:tblPr>
        <w:tblW w:w="8856" w:type="dxa"/>
        <w:jc w:val="start"/>
        <w:tblInd w:w="0" w:type="dxa"/>
        <w:tblLayout w:type="fixed"/>
        <w:tblCellMar>
          <w:top w:w="0" w:type="dxa"/>
          <w:start w:w="108" w:type="dxa"/>
          <w:bottom w:w="0" w:type="dxa"/>
          <w:end w:w="108" w:type="dxa"/>
        </w:tblCellMar>
      </w:tblPr>
      <w:tblGrid>
        <w:gridCol w:w="2358"/>
        <w:gridCol w:w="2250"/>
        <w:gridCol w:w="2124"/>
        <w:gridCol w:w="2124"/>
      </w:tblGrid>
      <w:tr>
        <w:trPr/>
        <w:tc>
          <w:tcPr>
            <w:tcW w:w="2358" w:type="dxa"/>
            <w:tcBorders/>
          </w:tcPr>
          <w:p>
            <w:pPr>
              <w:pStyle w:val="BodyText2"/>
              <w:widowControl/>
              <w:snapToGrid w:val="false"/>
              <w:ind w:hanging="0" w:start="0" w:end="0"/>
              <w:rPr>
                <w:rFonts w:ascii="Times New Roman" w:hAnsi="Times New Roman" w:cs="Times New Roman"/>
              </w:rPr>
            </w:pPr>
            <w:r>
              <w:rPr>
                <w:rFonts w:cs="Times New Roman" w:ascii="Times New Roman" w:hAnsi="Times New Roman"/>
              </w:rPr>
            </w:r>
          </w:p>
        </w:tc>
        <w:tc>
          <w:tcPr>
            <w:tcW w:w="2250" w:type="dxa"/>
            <w:tcBorders/>
          </w:tcPr>
          <w:p>
            <w:pPr>
              <w:pStyle w:val="BodyText2"/>
              <w:widowControl/>
              <w:snapToGrid w:val="false"/>
              <w:ind w:hanging="0" w:start="0" w:end="0"/>
              <w:rPr>
                <w:rFonts w:ascii="Times New Roman" w:hAnsi="Times New Roman" w:cs="Times New Roman"/>
              </w:rPr>
            </w:pPr>
            <w:r>
              <w:rPr>
                <w:rFonts w:cs="Times New Roman" w:ascii="Times New Roman" w:hAnsi="Times New Roman"/>
              </w:rPr>
            </w:r>
          </w:p>
        </w:tc>
        <w:tc>
          <w:tcPr>
            <w:tcW w:w="2124" w:type="dxa"/>
            <w:tcBorders/>
          </w:tcPr>
          <w:p>
            <w:pPr>
              <w:pStyle w:val="BodyText2"/>
              <w:widowControl/>
              <w:snapToGrid w:val="false"/>
              <w:ind w:hanging="0" w:start="0" w:end="0"/>
              <w:rPr>
                <w:rFonts w:ascii="Times New Roman" w:hAnsi="Times New Roman" w:cs="Times New Roman"/>
              </w:rPr>
            </w:pPr>
            <w:r>
              <w:rPr>
                <w:rFonts w:cs="Times New Roman" w:ascii="Times New Roman" w:hAnsi="Times New Roman"/>
              </w:rPr>
            </w:r>
          </w:p>
        </w:tc>
        <w:tc>
          <w:tcPr>
            <w:tcW w:w="2124" w:type="dxa"/>
            <w:tcBorders/>
          </w:tcPr>
          <w:p>
            <w:pPr>
              <w:pStyle w:val="BodyText2"/>
              <w:widowControl/>
              <w:snapToGrid w:val="false"/>
              <w:ind w:hanging="0" w:start="0" w:end="0"/>
              <w:rPr>
                <w:rFonts w:ascii="Times New Roman" w:hAnsi="Times New Roman" w:cs="Times New Roman"/>
              </w:rPr>
            </w:pPr>
            <w:r>
              <w:rPr>
                <w:rFonts w:cs="Times New Roman" w:ascii="Times New Roman" w:hAnsi="Times New Roman"/>
              </w:rPr>
            </w:r>
          </w:p>
        </w:tc>
      </w:tr>
    </w:tbl>
    <w:p>
      <w:pPr>
        <w:pStyle w:val="Normal"/>
        <w:rPr>
          <w:i/>
          <w:i/>
        </w:rPr>
      </w:pPr>
      <w:r>
        <w:rPr>
          <w:i/>
        </w:rPr>
        <w:t>This is for discussion purposes only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relating to credit and limitation of damages.</w:t>
      </w:r>
    </w:p>
    <w:p>
      <w:pPr>
        <w:pStyle w:val="Normal"/>
        <w:rPr>
          <w:i/>
          <w:i/>
        </w:rPr>
      </w:pPr>
      <w:r>
        <w:rPr>
          <w:i/>
        </w:rPr>
      </w:r>
    </w:p>
    <w:p>
      <w:pPr>
        <w:pStyle w:val="Normal"/>
        <w:rPr/>
      </w:pPr>
      <w:r>
        <w:rPr/>
        <w:t>Janet Wallis</w:t>
      </w:r>
    </w:p>
    <w:p>
      <w:pPr>
        <w:pStyle w:val="Normal"/>
        <w:rPr/>
      </w:pPr>
      <w:r>
        <w:rPr/>
        <w:t xml:space="preserve">(713) 853-5388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Univers (WN)">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val="false"/>
      <w:ind w:hanging="1440" w:start="1440" w:end="0"/>
      <w:jc w:val="both"/>
    </w:pPr>
    <w:rPr>
      <w:rFonts w:ascii="Univers (WN)" w:hAnsi="Univers (WN)" w:cs="Univers (W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2001-01-02T21:00:00Z</dcterms:created>
  <dc:creator>jwallis</dc:creator>
  <dc:description/>
  <dc:language>en-CA</dc:language>
  <cp:lastModifiedBy>jwallis</cp:lastModifiedBy>
  <cp:lastPrinted>2001-01-03T17:16:00Z</cp:lastPrinted>
  <dcterms:modified xsi:type="dcterms:W3CDTF">2001-03-17T02:31:00Z</dcterms:modified>
  <cp:revision>8</cp:revision>
  <dc:subject/>
  <dc:title>January 2, 2001</dc:title>
</cp:coreProperties>
</file>