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("Agreement"), is entered into and made effective this ___ day of March 2000, by and between, SOUTHERN TRANSMISSION COMPANY, a Delaware corporation, ("Southern"), and HOUSTON PIPE LINE COMPANY, a Delaware corporation, ("HPL").  (Southern and HPL are sometimes referred to individually as "Party" and collectively as "Parties").</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rFonts w:ascii="Arial Narrow" w:hAnsi="Arial Narrow" w:cs="Arial Narrow"/>
          <w:sz w:val="18"/>
        </w:rPr>
      </w:pPr>
      <w:r>
        <w:rPr>
          <w:rFonts w:cs="Arial Narrow" w:ascii="Arial Narrow" w:hAnsi="Arial Narrow"/>
          <w:sz w:val="18"/>
        </w:rPr>
        <w:tab/>
        <w:t xml:space="preserve">WHEREAS, Southern owns and operates an intrastate natural gas pipeline and related facilities located in Texas (the "Southern Pipeline"); and </w:t>
      </w:r>
    </w:p>
    <w:p>
      <w:pPr>
        <w:pStyle w:val="Heading2"/>
        <w:widowControl/>
        <w:rPr>
          <w:rFonts w:ascii="Arial Narrow" w:hAnsi="Arial Narrow" w:cs="Arial Narrow"/>
          <w:sz w:val="18"/>
        </w:rPr>
      </w:pPr>
      <w:r>
        <w:rPr>
          <w:rFonts w:cs="Arial Narrow" w:ascii="Arial Narrow" w:hAnsi="Arial Narrow"/>
          <w:sz w:val="18"/>
        </w:rPr>
        <w:tab/>
        <w:t xml:space="preserve">WHEREAS, HPL owns and operates an 20-inch intrastate natural gas pipeline and related facilities located in Texas (the "HPL Pipeline"); and </w:t>
      </w:r>
    </w:p>
    <w:p>
      <w:pPr>
        <w:pStyle w:val="Heading2"/>
        <w:widowControl/>
        <w:rPr>
          <w:rFonts w:ascii="Arial Narrow" w:hAnsi="Arial Narrow" w:cs="Arial Narrow"/>
          <w:sz w:val="18"/>
        </w:rPr>
      </w:pPr>
      <w:r>
        <w:rPr>
          <w:rFonts w:cs="Arial Narrow" w:ascii="Arial Narrow" w:hAnsi="Arial Narrow"/>
          <w:sz w:val="18"/>
        </w:rPr>
        <w:tab/>
        <w:t>WHEREAS, Southern and HPL desire to install, own, and operate a natural gas meter station located on the HPL Pipeline on the William House, Abstract 15, Caldwell County, Texas, the Interconnect to deliver natural gas to the Southern Pipeline from the HPL Pipeline.</w:t>
      </w:r>
    </w:p>
    <w:p>
      <w:pPr>
        <w:pStyle w:val="Heading2"/>
        <w:widowControl/>
        <w:rPr>
          <w:rFonts w:ascii="Arial Narrow" w:hAnsi="Arial Narrow" w:cs="Arial Narrow"/>
          <w:sz w:val="18"/>
        </w:rPr>
      </w:pPr>
      <w:r>
        <w:rPr>
          <w:rFonts w:cs="Arial Narrow" w:ascii="Arial Narrow" w:hAnsi="Arial Narrow"/>
          <w:sz w:val="18"/>
        </w:rPr>
        <w:tab/>
        <w:t>NOW, THEREFORE, in consideration of the promises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3-inch turbine meter capable of flowing nine (9) mmcfd, separation equipment, regulation equipment, a proportional to flow gas sampler, EFM/SCADA and RTU equipment, communication equipment, instrumentation, over-pressure protection (“OPP”), hot tap valves and crossover pipelines required for the physical delivery of natural gas from HPL Pipeline to the Southern Pipeline (the "Interconnect").  The Interconnect shall consist of the Southern Facilities and the HPL Facilities, as defined below. The layout of the Interconnect between the HPL Facilities and the Southern Facilities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HPL or its designee shall own that portion of the Interconnect located on HPL’s side of the insulating flange designated as the point of custody transfer as defined in Section 5(i) below which shall include a 3-inch turbine meter capable of flowing nine (9) mmcfd, a proportional to flow sampler, HPL’s EFM/SCADA, HPL’s communication equipment and instrumentation, a hot tap valve on the HPL Pipeline, and associated piping and pipeline related facilities (the "HPL Facilities").</w:t>
      </w:r>
    </w:p>
    <w:p>
      <w:pPr>
        <w:pStyle w:val="Heading2"/>
        <w:widowControl/>
        <w:rPr/>
      </w:pPr>
      <w:r>
        <w:rPr>
          <w:rFonts w:cs="Arial Narrow" w:ascii="Arial Narrow" w:hAnsi="Arial Narrow"/>
          <w:sz w:val="18"/>
        </w:rPr>
        <w:tab/>
        <w:t>(ii)</w:t>
        <w:tab/>
      </w:r>
      <w:r>
        <w:rPr>
          <w:rFonts w:cs="Arial Narrow" w:ascii="Arial Narrow" w:hAnsi="Arial Narrow"/>
          <w:sz w:val="18"/>
          <w:u w:val="single"/>
        </w:rPr>
        <w:t>Southern Ownership</w:t>
      </w:r>
      <w:r>
        <w:rPr>
          <w:rFonts w:cs="Arial Narrow" w:ascii="Arial Narrow" w:hAnsi="Arial Narrow"/>
          <w:sz w:val="18"/>
        </w:rPr>
        <w:t>.  Southern or its designee shall own the tap, riser, above ground valve, separation equipment, regulation equipment, OPP and piping and pipe related facilities located on Southern’s side of the insulating flange designated as the point of custody transfer as defined in Section 5(i) below located at the Interconnect (the "Southern Facilities").</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xml:space="preserve">.  The HPL Facilities shall be designed, installed, and constructed by HPL or its designee in accordance with Engineering Standards as adopted by Enron Operations Corp., as the same may be amended or supplemented from time to time (the “Standards”).  The Southern Facilities shall be designed, installed, and constructed by Southern or its designee in accordance with Engineering Standards as adopted by Southern, as the same may be amended from time to time (the "Southern Standards").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or nitrogen testing documentation; (iv) OPP documentation, as applicable; and (v) as-built drawings or information.  The Parties shall arrange a mutually agreeable schedule for the tie-in of the Interconnect with the HPL Pipeline and the Southern Pipeline. </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Southern shall reimburse HPL for all direct and indirect costs, in excess of $44,780, associated with the design, installation, procurement, and construction of the HPL Facilities including IRS Gross Up.  HPL shall invoice Southern for such costs and Southern shall pay such invoice within 30 days of Southern’s receipt thereof.</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Southern shall obtain, at their sole cost and expense, all clearances, permits, licenses, authorizations, easements and other land rights that may be needed for the construction, installation, maintenance, and operation of the Southern Facilities.  HPL or its designee shall obtain, all clearances, permits, licenses, authorizations, easements and other land rights that may be needed for the construction, installation, maintenance, and operation of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xml:space="preserve">. Southern shall own, operate and maintain the Southern Facilities in accordance with the Southern Standards and with sound and prudent natural gas pipeline industry practice and shall be fully responsible for the operation and maintenance thereof and for all cost, expense and risk associated therewith.  HPL shall operate and maintain or cause the operation and maintenance of the HPL Facilities in accordance with the Standards and with sound and prudent natural gas pipeline practice and shall be fully responsible for the operation and maintenance thereof and for all cost, expense and risk associated therewith.  HPL shall allow Southern to interface HPL’s RTU equipment to share the flow information from the meter, provided such interface shall be at no incremental cost to HPL and with no modification required by HPL to the RTU equipment.  Southern shall be responsible for procuring electric power and phone service required for the operation for the Interconnect.  HPL and Southern shall pay their respective monthly electric and telephone charges associated with their respective facilities.  </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Custody of the gas shall transfer at the insulating flange located between the Southern Facilities and the HPL Facilities. (See Exhibit "A")</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the standards adopted in American Gas Association No. 7 as may be amended or supplemented from time to time and shall conform to the quality standards set forth in any applicable sales or transport agreement. Southern shall at all times have the right to refuse delivery of gas not meeting the quality standards set forth above.  Operation of the HPL Facilities by HPL or its designee shall include operation of the 3-inch turbine meter (the "</w:t>
      </w:r>
      <w:r>
        <w:rPr>
          <w:rFonts w:cs="Arial Narrow" w:ascii="Arial Narrow" w:hAnsi="Arial Narrow"/>
          <w:sz w:val="18"/>
          <w:u w:val="single"/>
        </w:rPr>
        <w:t>Meter</w:t>
      </w:r>
      <w:r>
        <w:rPr>
          <w:rFonts w:cs="Arial Narrow" w:ascii="Arial Narrow" w:hAnsi="Arial Narrow"/>
          <w:sz w:val="18"/>
        </w:rPr>
        <w:t>") and HPL shall give Southern twenty-four hour operational notice prior to any testing or calibrating of the Meter.  Southern shall have the right to be present during testing or calibrating of the Meter;</w:t>
      </w:r>
      <w:r>
        <w:rPr>
          <w:rFonts w:cs="Arial Narrow" w:ascii="Arial Narrow" w:hAnsi="Arial Narrow"/>
        </w:rPr>
        <w:t xml:space="preserve"> </w:t>
      </w:r>
      <w:r>
        <w:rPr>
          <w:rFonts w:cs="Arial Narrow" w:ascii="Arial Narrow" w:hAnsi="Arial Narrow"/>
          <w:sz w:val="18"/>
        </w:rPr>
        <w:t>provided, if HPL has given such notice to Southern and Southern is not present at the time specified, then HPL may proceed with the tests as though Southern were present, and the results therefrom shall be deemed correct and accurate with copies provided to Southern within five business days.  The Meter shall be used to perform custody transfer measurement of the gas.</w:t>
      </w:r>
    </w:p>
    <w:p>
      <w:pPr>
        <w:pStyle w:val="Heading2"/>
        <w:widowControl/>
        <w:rPr/>
      </w:pPr>
      <w:r>
        <w:rPr>
          <w:rFonts w:cs="Arial Narrow" w:ascii="Arial Narrow" w:hAnsi="Arial Narrow"/>
          <w:sz w:val="18"/>
        </w:rPr>
        <w:tab/>
        <w:t>(iii)</w:t>
        <w:tab/>
      </w:r>
      <w:r>
        <w:rPr>
          <w:rFonts w:cs="Arial Narrow" w:ascii="Arial Narrow" w:hAnsi="Arial Narrow"/>
          <w:sz w:val="18"/>
          <w:u w:val="single"/>
        </w:rPr>
        <w:t>Samples and BTU Content</w:t>
      </w:r>
      <w:r>
        <w:rPr>
          <w:rFonts w:cs="Arial Narrow" w:ascii="Arial Narrow" w:hAnsi="Arial Narrow"/>
          <w:sz w:val="18"/>
        </w:rPr>
        <w:t xml:space="preserve">.  A proportional to flow gas sampler installed as part of the HPL Facilities shall be used to ascertain the composition of the gas stream.  Sampling shall be analyzed monthly with copies provided to Southern. </w:t>
      </w:r>
    </w:p>
    <w:p>
      <w:pPr>
        <w:pStyle w:val="Heading2"/>
        <w:widowControl/>
        <w:rPr/>
      </w:pPr>
      <w:r>
        <w:rPr>
          <w:rFonts w:cs="Arial Narrow" w:ascii="Arial Narrow" w:hAnsi="Arial Narrow"/>
          <w:sz w:val="18"/>
        </w:rPr>
        <w:tab/>
        <w:t>(iv)</w:t>
        <w:tab/>
      </w:r>
      <w:r>
        <w:rPr>
          <w:rFonts w:cs="Arial Narrow" w:ascii="Arial Narrow" w:hAnsi="Arial Narrow"/>
          <w:sz w:val="18"/>
          <w:u w:val="single"/>
        </w:rPr>
        <w:t>MAOP</w:t>
      </w:r>
      <w:r>
        <w:rPr>
          <w:rFonts w:cs="Arial Narrow" w:ascii="Arial Narrow" w:hAnsi="Arial Narrow"/>
          <w:sz w:val="18"/>
        </w:rPr>
        <w:t>.  HPL shall deliver the gas to the Southern Facilities at pressures existing from time to time in the HPL Pipeline.  The Southern Facilities shall include OPP equipment which shall be set at a pressure not to exceed the MAOP of the Southern Pipeline, as it may be modified from time to time.  Southern shall properly operate, maintain, inspect, test, and document the OPP devices on an annual basis.</w:t>
      </w:r>
    </w:p>
    <w:p>
      <w:pPr>
        <w:pStyle w:val="Heading2"/>
        <w:widowControl/>
        <w:rPr/>
      </w:pPr>
      <w:r>
        <w:rPr>
          <w:rFonts w:cs="Arial Narrow" w:ascii="Arial Narrow" w:hAnsi="Arial Narrow"/>
          <w:sz w:val="18"/>
        </w:rPr>
        <w:tab/>
        <w:t>(v)</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HPL Facilities, Southern Facilities or the Southern Pipeline, the impacted Party shall immediately notify the offending party of the offense verbally and in writing.  The offending party shall use its best efforts to cure the offense within seven days or the offended party may suspend the flow of gas through the Interconnect upon agreement of both parties.  </w:t>
      </w:r>
    </w:p>
    <w:p>
      <w:pPr>
        <w:pStyle w:val="Heading2"/>
        <w:widowControl/>
        <w:rPr/>
      </w:pPr>
      <w:r>
        <w:rPr>
          <w:rFonts w:cs="Arial Narrow" w:ascii="Arial Narrow" w:hAnsi="Arial Narrow"/>
          <w:sz w:val="18"/>
        </w:rPr>
        <w:tab/>
        <w:t>(vi)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Check Measurement</w:t>
      </w:r>
      <w:r>
        <w:rPr>
          <w:rFonts w:cs="Arial Narrow" w:ascii="Arial Narrow" w:hAnsi="Arial Narrow"/>
          <w:sz w:val="18"/>
        </w:rPr>
        <w:t>.  Southern shall have the right to install check measurement facilities at any time during the term of this Agreement as long as such facilities do not interfere with HPL’s custody transfer measurement.</w:t>
      </w:r>
    </w:p>
    <w:p>
      <w:pPr>
        <w:pStyle w:val="Heading2"/>
        <w:widowControl/>
        <w:rPr/>
      </w:pPr>
      <w:r>
        <w:rPr>
          <w:rFonts w:cs="Arial Narrow" w:ascii="Arial Narrow" w:hAnsi="Arial Narrow"/>
          <w:sz w:val="18"/>
        </w:rPr>
        <w:t>7.</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8.</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9.</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10.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date first above written and shall remain in full force and effect until terminated in writing by mutual agreement by both Parties, which shall not be unreasonably withheld.  </w:t>
      </w:r>
    </w:p>
    <w:p>
      <w:pPr>
        <w:pStyle w:val="Heading2"/>
        <w:rPr>
          <w:b/>
        </w:rPr>
      </w:pPr>
      <w:r>
        <w:rPr>
          <w:rFonts w:cs="Arial Narrow" w:ascii="Arial Narrow" w:hAnsi="Arial Narrow"/>
          <w:caps/>
          <w:sz w:val="18"/>
        </w:rPr>
        <w:t>11.</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Party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12.</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13.</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SOUTHERN:</w:t>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Southern Transmission Company</w:t>
        <w:tab/>
      </w:r>
    </w:p>
    <w:p>
      <w:pPr>
        <w:pStyle w:val="Normal"/>
        <w:widowControl/>
        <w:rPr>
          <w:rFonts w:ascii="Arial Narrow" w:hAnsi="Arial Narrow" w:cs="Arial Narrow"/>
          <w:sz w:val="18"/>
        </w:rPr>
      </w:pPr>
      <w:r>
        <w:rPr>
          <w:rFonts w:cs="Arial Narrow" w:ascii="Arial Narrow" w:hAnsi="Arial Narrow"/>
          <w:sz w:val="18"/>
        </w:rPr>
        <w:t>1400 Smith Street</w:t>
        <w:tab/>
        <w:tab/>
        <w:tab/>
        <w:t>Attn:  Operations</w:t>
      </w:r>
    </w:p>
    <w:p>
      <w:pPr>
        <w:pStyle w:val="Normal"/>
        <w:widowControl/>
        <w:rPr>
          <w:rFonts w:ascii="Arial Narrow" w:hAnsi="Arial Narrow" w:cs="Arial Narrow"/>
          <w:sz w:val="18"/>
        </w:rPr>
      </w:pPr>
      <w:r>
        <w:rPr>
          <w:rFonts w:cs="Arial Narrow" w:ascii="Arial Narrow" w:hAnsi="Arial Narrow"/>
          <w:sz w:val="18"/>
        </w:rPr>
        <w:t>Houston, Texas 77002-7361</w:t>
        <w:tab/>
        <w:tab/>
        <w:t>504 Lavaca, Suite 970</w:t>
      </w:r>
    </w:p>
    <w:p>
      <w:pPr>
        <w:pStyle w:val="Normal"/>
        <w:widowControl/>
        <w:rPr>
          <w:rFonts w:ascii="Arial Narrow" w:hAnsi="Arial Narrow" w:cs="Arial Narrow"/>
          <w:sz w:val="18"/>
        </w:rPr>
      </w:pPr>
      <w:r>
        <w:rPr>
          <w:rFonts w:cs="Arial Narrow" w:ascii="Arial Narrow" w:hAnsi="Arial Narrow"/>
          <w:sz w:val="18"/>
        </w:rPr>
        <w:t>Attention:  Natural Gas Assets</w:t>
        <w:tab/>
        <w:tab/>
        <w:t>Austin, TX  78701</w:t>
      </w:r>
    </w:p>
    <w:p>
      <w:pPr>
        <w:pStyle w:val="Normal"/>
        <w:widowControl/>
        <w:rPr>
          <w:rFonts w:ascii="Arial Narrow" w:hAnsi="Arial Narrow" w:cs="Arial Narrow"/>
          <w:sz w:val="18"/>
        </w:rPr>
      </w:pPr>
      <w:r>
        <w:rPr>
          <w:rFonts w:cs="Arial Narrow" w:ascii="Arial Narrow" w:hAnsi="Arial Narrow"/>
          <w:sz w:val="18"/>
        </w:rPr>
        <w:t>Facsimile Number:  (713) 646-8416</w:t>
        <w:tab/>
        <w:t>Facsimile Number:  (512) 476-5985</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Mid-Texas Team</w:t>
        <w:tab/>
        <w:tab/>
        <w:tab/>
        <w:t>Southern Transmission Company</w:t>
      </w:r>
    </w:p>
    <w:p>
      <w:pPr>
        <w:pStyle w:val="Normal"/>
        <w:widowControl/>
        <w:rPr>
          <w:rFonts w:ascii="Arial Narrow" w:hAnsi="Arial Narrow" w:cs="Arial Narrow"/>
          <w:sz w:val="18"/>
        </w:rPr>
      </w:pPr>
      <w:r>
        <w:rPr>
          <w:rFonts w:cs="Arial Narrow" w:ascii="Arial Narrow" w:hAnsi="Arial Narrow"/>
          <w:sz w:val="18"/>
        </w:rPr>
        <w:t>Lockhart, Texas</w:t>
        <w:tab/>
        <w:tab/>
        <w:tab/>
        <w:t>Attn: Operations</w:t>
      </w:r>
    </w:p>
    <w:p>
      <w:pPr>
        <w:pStyle w:val="Normal"/>
        <w:widowControl/>
        <w:rPr>
          <w:rFonts w:ascii="Arial Narrow" w:hAnsi="Arial Narrow" w:cs="Arial Narrow"/>
          <w:sz w:val="18"/>
        </w:rPr>
      </w:pPr>
      <w:r>
        <w:rPr>
          <w:rFonts w:cs="Arial Narrow" w:ascii="Arial Narrow" w:hAnsi="Arial Narrow"/>
          <w:sz w:val="18"/>
        </w:rPr>
        <w:t>(361) 398-3896</w:t>
        <w:tab/>
        <w:tab/>
        <w:tab/>
        <w:t>504 Lavaca, Suite 970</w:t>
      </w:r>
    </w:p>
    <w:p>
      <w:pPr>
        <w:pStyle w:val="Normal"/>
        <w:widowControl/>
        <w:rPr/>
      </w:pPr>
      <w:r>
        <w:rPr>
          <w:rFonts w:cs="Arial Narrow" w:ascii="Arial Narrow" w:hAnsi="Arial Narrow"/>
          <w:b/>
          <w:sz w:val="18"/>
        </w:rPr>
        <w:t>Gas Control</w:t>
      </w:r>
      <w:r>
        <w:rPr>
          <w:rFonts w:cs="Arial Narrow" w:ascii="Arial Narrow" w:hAnsi="Arial Narrow"/>
          <w:sz w:val="18"/>
        </w:rPr>
        <w:t>: (713) 853-6444</w:t>
        <w:tab/>
        <w:tab/>
        <w:t>Austin, TX  78701</w:t>
      </w:r>
    </w:p>
    <w:p>
      <w:pPr>
        <w:pStyle w:val="Normal"/>
        <w:widowControl/>
        <w:rPr/>
      </w:pPr>
      <w:r>
        <w:rPr>
          <w:rFonts w:cs="Arial Narrow" w:ascii="Arial Narrow" w:hAnsi="Arial Narrow"/>
          <w:sz w:val="18"/>
        </w:rPr>
        <w:tab/>
        <w:tab/>
        <w:tab/>
        <w:tab/>
      </w:r>
      <w:r>
        <w:rPr>
          <w:rFonts w:cs="Arial Narrow" w:ascii="Arial Narrow" w:hAnsi="Arial Narrow"/>
          <w:b/>
          <w:sz w:val="18"/>
        </w:rPr>
        <w:t>Gas Control</w:t>
      </w:r>
      <w:r>
        <w:rPr>
          <w:rFonts w:cs="Arial Narrow" w:ascii="Arial Narrow" w:hAnsi="Arial Narrow"/>
          <w:sz w:val="18"/>
        </w:rPr>
        <w:t>: (512) 476-5985</w:t>
      </w:r>
    </w:p>
    <w:p>
      <w:pPr>
        <w:pStyle w:val="Normal"/>
        <w:widowControl/>
        <w:rPr>
          <w:rFonts w:ascii="Arial Narrow" w:hAnsi="Arial Narrow" w:cs="Arial Narrow"/>
          <w:sz w:val="18"/>
        </w:rPr>
      </w:pPr>
      <w:r>
        <w:rPr>
          <w:rFonts w:cs="Arial Narrow" w:ascii="Arial Narrow" w:hAnsi="Arial Narrow"/>
          <w:sz w:val="18"/>
        </w:rPr>
        <w:tab/>
        <w:tab/>
        <w:tab/>
        <w:tab/>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14.</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15.</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p>
    <w:p>
      <w:pPr>
        <w:pStyle w:val="Normal"/>
        <w:ind w:firstLine="720" w:end="0"/>
        <w:jc w:val="both"/>
        <w:rPr/>
      </w:pPr>
      <w:r>
        <w:rPr/>
      </w:r>
    </w:p>
    <w:p>
      <w:pPr>
        <w:pStyle w:val="Heading2"/>
        <w:widowControl/>
        <w:rPr/>
      </w:pPr>
      <w:r>
        <w:rPr>
          <w:rFonts w:cs="Arial Narrow" w:ascii="Arial Narrow" w:hAnsi="Arial Narrow"/>
          <w:sz w:val="18"/>
        </w:rPr>
        <w:t>16.</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17.</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18.</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SOUTHERN TRANSMISSION COMPANY</w:t>
      </w:r>
      <w:r>
        <w:rPr>
          <w:rFonts w:cs="Arial Narrow" w:ascii="Arial Narrow" w:hAnsi="Arial Narrow"/>
          <w:sz w:val="18"/>
        </w:rPr>
        <w:tab/>
        <w:tab/>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___________________________________</w:t>
        <w:tab/>
        <w:tab/>
        <w:tab/>
        <w:tab/>
        <w:t>___________________________________</w:t>
      </w:r>
    </w:p>
    <w:p>
      <w:pPr>
        <w:pStyle w:val="Normal"/>
        <w:widowControl/>
        <w:jc w:val="both"/>
        <w:rPr>
          <w:rFonts w:ascii="Arial Narrow" w:hAnsi="Arial Narrow" w:cs="Arial Narrow"/>
          <w:sz w:val="18"/>
        </w:rPr>
      </w:pPr>
      <w:r>
        <w:rPr>
          <w:rFonts w:cs="Arial Narrow" w:ascii="Arial Narrow" w:hAnsi="Arial Narrow"/>
          <w:sz w:val="18"/>
        </w:rPr>
        <w:t>Name: _____________________________</w:t>
        <w:tab/>
        <w:tab/>
        <w:tab/>
        <w:tab/>
        <w:t xml:space="preserve">Name: </w:t>
      </w:r>
      <w:r>
        <w:rPr>
          <w:rFonts w:cs="Arial Narrow" w:ascii="Arial Narrow" w:hAnsi="Arial Narrow"/>
          <w:sz w:val="18"/>
          <w:u w:val="single"/>
        </w:rPr>
        <w:tab/>
        <w:tab/>
        <w:tab/>
        <w:tab/>
      </w:r>
    </w:p>
    <w:p>
      <w:pPr>
        <w:pStyle w:val="Normal"/>
        <w:widowControl/>
        <w:jc w:val="both"/>
        <w:rPr>
          <w:rFonts w:ascii="Arial Narrow" w:hAnsi="Arial Narrow" w:cs="Arial Narrow"/>
          <w:sz w:val="18"/>
        </w:rPr>
      </w:pPr>
      <w:r>
        <w:rPr>
          <w:rFonts w:cs="Arial Narrow" w:ascii="Arial Narrow" w:hAnsi="Arial Narrow"/>
          <w:sz w:val="18"/>
        </w:rPr>
        <w:t>Title: _______________________________</w:t>
        <w:tab/>
        <w:tab/>
        <w:tab/>
        <w:t xml:space="preserve">Title: </w:t>
      </w:r>
      <w:r>
        <w:rPr>
          <w:rFonts w:cs="Arial Narrow" w:ascii="Arial Narrow" w:hAnsi="Arial Narrow"/>
          <w:sz w:val="18"/>
          <w:u w:val="single"/>
        </w:rPr>
        <w:tab/>
        <w:tab/>
        <w:tab/>
        <w:tab/>
      </w:r>
    </w:p>
    <w:p>
      <w:pPr>
        <w:pStyle w:val="Normal"/>
        <w:widowControl/>
        <w:jc w:val="both"/>
        <w:rPr/>
      </w:pPr>
      <w:r>
        <w:rPr>
          <w:rFonts w:cs="Arial Narrow" w:ascii="Arial Narrow" w:hAnsi="Arial Narrow"/>
          <w:sz w:val="18"/>
        </w:rPr>
        <w:t xml:space="preserve">Date: </w:t>
      </w:r>
      <w:r>
        <w:rPr>
          <w:rFonts w:cs="Arial Narrow" w:ascii="Arial Narrow" w:hAnsi="Arial Narrow"/>
          <w:sz w:val="18"/>
          <w:u w:val="single"/>
        </w:rPr>
        <w:tab/>
        <w:tab/>
      </w:r>
      <w:r>
        <w:rPr>
          <w:rFonts w:cs="Arial Narrow" w:ascii="Arial Narrow" w:hAnsi="Arial Narrow"/>
          <w:sz w:val="18"/>
        </w:rPr>
        <w:tab/>
        <w:tab/>
        <w:tab/>
        <w:tab/>
        <w:tab/>
        <w:t xml:space="preserve">Date: </w:t>
      </w:r>
      <w:r>
        <w:rPr>
          <w:rFonts w:cs="Arial Narrow" w:ascii="Arial Narrow" w:hAnsi="Arial Narrow"/>
          <w:sz w:val="18"/>
          <w:u w:val="single"/>
        </w:rPr>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METER RUN]</w:t>
      </w:r>
    </w:p>
    <w:sectPr>
      <w:footerReference w:type="default" r:id="rId2"/>
      <w:type w:val="nextPage"/>
      <w:pgSz w:w="12240" w:h="15840"/>
      <w:pgMar w:left="1440" w:right="1440" w:gutter="0" w:header="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rStyle w:val="PageNumber"/>
        <w:sz w:val="24"/>
      </w:rPr>
    </w:pPr>
    <w:r>
      <w:rPr>
        <w:rFonts w:cs="Arial Narrow" w:ascii="Arial Narrow" w:hAnsi="Arial Narrow"/>
        <w:sz w:val="14"/>
      </w:rPr>
      <w:t>COMMON\LEGAL\egillas\Southern Union ICA</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2000-03-08T14:04:00Z</dcterms:created>
  <dc:creator>ECT</dc:creator>
  <dc:description/>
  <dc:language>en-CA</dc:language>
  <cp:lastModifiedBy>gnemec</cp:lastModifiedBy>
  <cp:lastPrinted>2000-03-08T10:15:00Z</cp:lastPrinted>
  <dcterms:modified xsi:type="dcterms:W3CDTF">2000-03-08T21:43:00Z</dcterms:modified>
  <cp:revision>10</cp:revision>
  <dc:subject/>
  <dc:title>Letter format</dc:title>
</cp:coreProperties>
</file>