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pPr>
      <w:r>
        <w:rPr/>
        <w:t>REHEARING OF SOUTHERN AND GRIDSOUTH RTO ORDERS</w:t>
      </w:r>
    </w:p>
    <w:p>
      <w:pPr>
        <w:pStyle w:val="Normal"/>
        <w:ind w:firstLine="720" w:end="0"/>
        <w:rPr/>
      </w:pPr>
      <w:r>
        <w:rPr/>
      </w:r>
    </w:p>
    <w:p>
      <w:pPr>
        <w:pStyle w:val="Normal"/>
        <w:ind w:firstLine="720" w:end="0"/>
        <w:rPr/>
      </w:pPr>
      <w:r>
        <w:rPr/>
      </w:r>
    </w:p>
    <w:p>
      <w:pPr>
        <w:pStyle w:val="Normal"/>
        <w:ind w:firstLine="720" w:end="0"/>
        <w:rPr/>
      </w:pPr>
      <w:r>
        <w:rPr/>
        <w:t>Chairman Hebert continued the voluntary and muddled approach to the creation of Regional Transmission Organizations (RTO) begun under Chairman Hoecker, as detailed in the attached summaries of the Southern and GridSouth RTO Orders.  In doing so, he squandered a superb opportunity to advance the cause of competition in general, and the goal of comparability, in particular, and ignored the Commission’s jurisdiction over the transmission component of bundled retail sales as recently acknowledged by the D.C. Court of Appeals.  In order to maintain the opportunities for a new Chairman, if there is one, and possibly court appeal, Enron should seek rehearing on, at least, the following issues.  In addition, Enron should seriously consider filing a motion to consolidate the GridSouth and Southern RTOs and renew its request for a settlement judge, consist with Commissioner Massey’s accompanying statement.</w:t>
      </w:r>
    </w:p>
    <w:p>
      <w:pPr>
        <w:pStyle w:val="Normal"/>
        <w:ind w:firstLine="720" w:end="0"/>
        <w:rPr/>
      </w:pPr>
      <w:r>
        <w:rPr/>
      </w:r>
    </w:p>
    <w:p>
      <w:pPr>
        <w:pStyle w:val="Heading1"/>
        <w:rPr/>
      </w:pPr>
      <w:r>
        <w:rPr/>
        <w:t>Mandatory RTO Participation and Scope and Configuration</w:t>
      </w:r>
    </w:p>
    <w:p>
      <w:pPr>
        <w:pStyle w:val="Normal"/>
        <w:ind w:firstLine="720" w:end="0"/>
        <w:rPr/>
      </w:pPr>
      <w:r>
        <w:rPr/>
      </w:r>
    </w:p>
    <w:p>
      <w:pPr>
        <w:pStyle w:val="Normal"/>
        <w:ind w:firstLine="720" w:end="0"/>
        <w:rPr/>
      </w:pPr>
      <w:r>
        <w:rPr/>
        <w:t>Considered together, the Southern and GridSouth RTO orders demonstrate a Commission that does not have the political will to address difficult issues and apparently believes that transmission owners will voluntarily give away a transmission monopoly, if given enough time.  On rehearing, Enron must argue that the meager efforts of Southern and the failure of GridSouth to expand outside North Carolina requires that the Commission order the transmission owners to join one southeast RTO.  At a minimum, the Commission should have granted Enron’s request to convene a proceeding under a settlement judge charged with presenting the Commission within a short time period one southeast RTO with GridSouth, Southern and Tennessee Valley Authority.</w:t>
      </w:r>
    </w:p>
    <w:p>
      <w:pPr>
        <w:pStyle w:val="Normal"/>
        <w:ind w:firstLine="720" w:end="0"/>
        <w:rPr/>
      </w:pPr>
      <w:r>
        <w:rPr/>
      </w:r>
    </w:p>
    <w:p>
      <w:pPr>
        <w:pStyle w:val="Heading1"/>
        <w:rPr/>
      </w:pPr>
      <w:r>
        <w:rPr/>
        <w:t>Tariff Administration and Design</w:t>
      </w:r>
    </w:p>
    <w:p>
      <w:pPr>
        <w:pStyle w:val="Normal"/>
        <w:ind w:firstLine="720" w:end="0"/>
        <w:rPr/>
      </w:pPr>
      <w:r>
        <w:rPr/>
      </w:r>
    </w:p>
    <w:p>
      <w:pPr>
        <w:pStyle w:val="Normal"/>
        <w:ind w:firstLine="720" w:end="0"/>
        <w:rPr/>
      </w:pPr>
      <w:r>
        <w:rPr/>
        <w:t>Enron must seek rehearing to ensure that all uses of the transmission system are under the same rates, terms and conditions of the same tariff.  Although GridSouth requires all uses, including native load and grand fathered contracts, to be under the terms and conditions of GridSouth’s Open Access Transmission Tariff (OATT), most of the tariff rate is not applicable to either class of service. By contrast, the Southern order can be read as requiring less services under the OATT then the GridSouth order does.  Needless to say neither order goes far enough.  On rehearing, Enron should argue that FERC must require all uses of the transmission system under the same rates, terms, and conditions of the same tariff, citing the recent court decision in the Order No. 888 appeal as recognizing FERC’s authority to accomplish this task.</w:t>
      </w:r>
    </w:p>
    <w:p>
      <w:pPr>
        <w:pStyle w:val="Normal"/>
        <w:ind w:firstLine="720" w:end="0"/>
        <w:rPr/>
      </w:pPr>
      <w:r>
        <w:rPr/>
      </w:r>
    </w:p>
    <w:p>
      <w:pPr>
        <w:pStyle w:val="Heading1"/>
        <w:rPr/>
      </w:pPr>
      <w:r>
        <w:rPr/>
        <w:t>Real Time Balancing Market</w:t>
      </w:r>
    </w:p>
    <w:p>
      <w:pPr>
        <w:pStyle w:val="Normal"/>
        <w:ind w:firstLine="720" w:end="0"/>
        <w:rPr/>
      </w:pPr>
      <w:r>
        <w:rPr/>
      </w:r>
    </w:p>
    <w:p>
      <w:pPr>
        <w:pStyle w:val="Normal"/>
        <w:ind w:firstLine="720" w:end="0"/>
        <w:rPr/>
      </w:pPr>
      <w:r>
        <w:rPr/>
        <w:t>On rehearing, Enron must explain the need for a real time energy market at the inception of the operation of GridSouth; and, also, explain that, at a minimum, the Commission’s failure to require a real time balancing market without penalties until months after operations begin is bad policy and a mistake, as a practical matter.</w:t>
      </w:r>
    </w:p>
    <w:p>
      <w:pPr>
        <w:pStyle w:val="Heading1"/>
        <w:rPr/>
      </w:pPr>
      <w:r>
        <w:rPr/>
        <w:t>Conditioning Utilities’ Market Based Rate Authority on Joining an RTO</w:t>
      </w:r>
    </w:p>
    <w:p>
      <w:pPr>
        <w:pStyle w:val="Normal"/>
        <w:ind w:firstLine="720" w:end="0"/>
        <w:rPr/>
      </w:pPr>
      <w:r>
        <w:rPr/>
      </w:r>
    </w:p>
    <w:p>
      <w:pPr>
        <w:pStyle w:val="Normal"/>
        <w:ind w:firstLine="720" w:end="0"/>
        <w:rPr/>
      </w:pPr>
      <w:r>
        <w:rPr/>
        <w:t>The Commission did not take Enron’s suggestion seriously, since the Commission was not seeking ways to make RTO participation mandatory.  The rational for rejecting this proposal as requiring a rulemaking is flawed, and this provides the rational to seek rehearing and keep this option alive.</w:t>
      </w:r>
    </w:p>
    <w:p>
      <w:pPr>
        <w:pStyle w:val="Normal"/>
        <w:ind w:firstLine="720" w:end="0"/>
        <w:rPr/>
      </w:pPr>
      <w:r>
        <w:rPr/>
      </w:r>
    </w:p>
    <w:p>
      <w:pPr>
        <w:pStyle w:val="Heading1"/>
        <w:rPr/>
      </w:pPr>
      <w:r>
        <w:rPr/>
        <w:t xml:space="preserve">Information Service </w:t>
      </w:r>
    </w:p>
    <w:p>
      <w:pPr>
        <w:pStyle w:val="Normal"/>
        <w:ind w:firstLine="720" w:end="0"/>
        <w:rPr/>
      </w:pPr>
      <w:r>
        <w:rPr/>
      </w:r>
    </w:p>
    <w:p>
      <w:pPr>
        <w:pStyle w:val="BodyTextIndent"/>
        <w:rPr/>
      </w:pPr>
      <w:r>
        <w:rPr/>
        <w:t>The Commission did not address Enron’s request that the Southeast RTO offer to the market constantly updated information on hourly load and generation offered to the RTO in an hour for balancing demand and supply in real-time.  The request should be renewed on rehearing.</w:t>
      </w:r>
    </w:p>
    <w:p>
      <w:pPr>
        <w:pStyle w:val="Normal"/>
        <w:ind w:firstLine="720" w:end="0"/>
        <w:rPr/>
      </w:pPr>
      <w:r>
        <w:rPr/>
      </w:r>
    </w:p>
    <w:p>
      <w:pPr>
        <w:pStyle w:val="Heading1"/>
        <w:rPr/>
      </w:pPr>
      <w:r>
        <w:rPr/>
        <w:t>Timeliness of implementation</w:t>
      </w:r>
    </w:p>
    <w:p>
      <w:pPr>
        <w:pStyle w:val="Normal"/>
        <w:ind w:firstLine="720" w:end="0"/>
        <w:rPr/>
      </w:pPr>
      <w:r>
        <w:rPr/>
      </w:r>
    </w:p>
    <w:p>
      <w:pPr>
        <w:pStyle w:val="Normal"/>
        <w:rPr/>
      </w:pPr>
      <w:r>
        <w:rPr/>
        <w:tab/>
        <w:t>GridSouth must take numerous actions to ensure that the RTO is operating by December 2001.  Unfortunately, the Commission failed to establish a time line for compliance and Enron should suggest one on rehearing.</w:t>
      </w:r>
    </w:p>
    <w:p>
      <w:pPr>
        <w:pStyle w:val="Normal"/>
        <w:rPr/>
      </w:pPr>
      <w:r>
        <w:rPr/>
      </w:r>
    </w:p>
    <w:p>
      <w:pPr>
        <w:pStyle w:val="Normal"/>
        <w:rPr/>
      </w:pPr>
      <w:r>
        <w:rPr/>
        <w:t>Southern GridSouth rehearing issues.doc</w:t>
      </w:r>
    </w:p>
    <w:p>
      <w:pPr>
        <w:pStyle w:val="Normal"/>
        <w:rPr/>
      </w:pPr>
      <w:r>
        <w:rPr/>
      </w:r>
    </w:p>
    <w:p>
      <w:pPr>
        <w:pStyle w:val="Normal"/>
        <w:rPr/>
      </w:pPr>
      <w:r>
        <w:rPr/>
      </w:r>
    </w:p>
    <w:p>
      <w:pPr>
        <w:pStyle w:val="Normal"/>
        <w:ind w:firstLine="720" w:end="0"/>
        <w:rPr/>
      </w:pPr>
      <w:r>
        <w:rPr/>
      </w:r>
    </w:p>
    <w:p>
      <w:pPr>
        <w:pStyle w:val="Normal"/>
        <w:ind w:firstLine="720" w:end="0"/>
        <w:rPr/>
      </w:pPr>
      <w:r>
        <w:rPr/>
      </w:r>
    </w:p>
    <w:p>
      <w:pPr>
        <w:pStyle w:val="Normal"/>
        <w:ind w:firstLine="72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2001-03-21T10:56:00Z</dcterms:created>
  <dc:creator>jhartso</dc:creator>
  <dc:description/>
  <dc:language>en-CA</dc:language>
  <cp:lastModifiedBy>jhartso</cp:lastModifiedBy>
  <cp:lastPrinted>2001-03-21T09:59:00Z</cp:lastPrinted>
  <dcterms:modified xsi:type="dcterms:W3CDTF">2001-03-21T13:51:00Z</dcterms:modified>
  <cp:revision>20</cp:revision>
  <dc:subject/>
  <dc:title>Squandering a superb opportunity to advance the goal of comparability, in particular, Chairman Hebert continued the voluntary </dc:title>
</cp:coreProperties>
</file>