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etica" w:hAnsi="Helvetica" w:cs="Arial"/>
        </w:rPr>
      </w:pPr>
      <w:r>
        <w:rPr>
          <w:rFonts w:cs="Arial" w:ascii="Helvetica" w:hAnsi="Helvetica"/>
          <w:strike/>
        </w:rPr>
        <w:t>January 10, 2001</w:t>
      </w:r>
      <w:r>
        <w:rPr>
          <w:rFonts w:cs="Arial" w:ascii="Helvetica" w:hAnsi="Helvetica"/>
        </w:rPr>
        <w:t xml:space="preserve"> </w:t>
      </w:r>
      <w:r>
        <w:rPr>
          <w:rFonts w:cs="Arial" w:ascii="Helvetica" w:hAnsi="Helvetica"/>
          <w:color w:val="FF0000"/>
        </w:rPr>
        <w:t>April 23, 2001</w:t>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p>
      <w:pPr>
        <w:pStyle w:val="Normal"/>
        <w:jc w:val="both"/>
        <w:rPr>
          <w:rFonts w:ascii="Arial" w:hAnsi="Arial" w:cs="Arial"/>
        </w:rPr>
      </w:pPr>
      <w:r>
        <w:rPr>
          <w:rFonts w:cs="Arial" w:ascii="Arial" w:hAnsi="Arial"/>
        </w:rPr>
        <w:t>P. O. Box 1188</w:t>
      </w:r>
    </w:p>
    <w:p>
      <w:pPr>
        <w:pStyle w:val="Normal"/>
        <w:jc w:val="both"/>
        <w:rPr>
          <w:rFonts w:ascii="Arial" w:hAnsi="Arial" w:cs="Arial"/>
        </w:rPr>
      </w:pPr>
      <w:r>
        <w:rPr>
          <w:rFonts w:cs="Arial" w:ascii="Arial" w:hAnsi="Arial"/>
        </w:rPr>
        <w:t>Houston, TX  77251-1188</w:t>
      </w:r>
    </w:p>
    <w:p>
      <w:pPr>
        <w:pStyle w:val="Normal"/>
        <w:jc w:val="both"/>
        <w:rPr/>
      </w:pPr>
      <w:r>
        <w:rPr>
          <w:rFonts w:cs="Arial" w:ascii="Arial" w:hAnsi="Arial"/>
        </w:rPr>
        <w:t>Attn:</w:t>
        <w:tab/>
      </w:r>
      <w:r>
        <w:rPr>
          <w:rFonts w:cs="Arial" w:ascii="Arial" w:hAnsi="Arial"/>
          <w:color w:val="FF0000"/>
        </w:rPr>
        <w:t>Mr. Phil DeMoes – Enron North America</w:t>
      </w:r>
      <w:r>
        <w:rPr>
          <w:rFonts w:cs="Arial" w:ascii="Arial" w:hAnsi="Arial"/>
        </w:rPr>
        <w:tab/>
      </w:r>
    </w:p>
    <w:p>
      <w:pPr>
        <w:pStyle w:val="Normal"/>
        <w:ind w:firstLine="720" w:end="0"/>
        <w:jc w:val="both"/>
        <w:rPr/>
      </w:pPr>
      <w:r>
        <w:rPr>
          <w:rFonts w:cs="Arial" w:ascii="Arial" w:hAnsi="Arial"/>
        </w:rPr>
        <w:t xml:space="preserve">Mr. </w:t>
      </w:r>
      <w:r>
        <w:rPr>
          <w:rFonts w:cs="Arial" w:ascii="Helvetica" w:hAnsi="Helvetica"/>
        </w:rPr>
        <w:t xml:space="preserve">Les Webber - </w:t>
      </w:r>
      <w:r>
        <w:rPr>
          <w:rFonts w:cs="Arial" w:ascii="Arial" w:hAnsi="Arial"/>
        </w:rPr>
        <w:t>Enron Global LNG</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Gentlemen:</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ab/>
        <w:t xml:space="preserve">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or other approvals necessary to construct, own and operate the Venezuela Facilities (as defined below) 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storage tanks, utility jetty, and berthing and loading facilities, the gas field production facilities used to furnish gas to the Venezuela Facilities, the natural gas pipeline facilities serving the Venezuela Facilities, purchased utilities at the Venezuela Facilities, the LNG tanker utilized to deliver LNG to the Elba Island Terminal, and the dock and harbor facilities serving the Venezuela Facilities.  </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ab/>
        <w:t>In light of ENA’s desire to sell regassified LNG to SCS and SCS’s desire to purchase such regassified LNG to fuel its electric generation operations at the McIntosh, Georgia site, the Parties hereto are entering into this Letter Agreement to evidence their mutual agreement to proceed with such a transaction on the terms and conditions set forth in this Letter Agreement and described in Exhibit A attached hereto and incorporated herein.</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b/>
          <w:bCs/>
        </w:rPr>
        <w:t>Binding Commitment to Enter Into Confirmation Letter</w:t>
      </w:r>
      <w:r>
        <w:rPr>
          <w:rFonts w:cs="Arial" w:ascii="Arial" w:hAnsi="Arial"/>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fifteen (15) days following execution of a power sales agreement with Southern Company or one of its electric utility affiliates.</w:t>
      </w:r>
    </w:p>
    <w:p>
      <w:pPr>
        <w:pStyle w:val="Normal"/>
        <w:ind w:start="360"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Term</w:t>
      </w:r>
      <w:r>
        <w:rPr>
          <w:rFonts w:cs="Arial" w:ascii="Arial" w:hAnsi="Arial"/>
        </w:rPr>
        <w:t xml:space="preserve">.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 or (iii) December 31, 2001.  Notwithstanding the foregoing, ENA shall have the unilateral right to terminate this Letter Agreement if it and its affiliates have not received by October 1, 2001, any and all licenses, permits, authorizations, or other approvals necessary to construct and operate the Venezuelan Facilities and to import LNG into the United States in such form and substance as may be acceptable to ENA. </w:t>
      </w:r>
    </w:p>
    <w:p>
      <w:pPr>
        <w:pStyle w:val="Normal"/>
        <w:ind w:start="360" w:end="0"/>
        <w:jc w:val="both"/>
        <w:rPr>
          <w:rFonts w:ascii="Arial" w:hAnsi="Arial" w:eastAsia="Arial" w:cs="Arial"/>
        </w:rPr>
      </w:pPr>
      <w:r>
        <w:rPr>
          <w:rFonts w:eastAsia="Arial" w:cs="Arial" w:ascii="Arial" w:hAnsi="Arial"/>
        </w:rPr>
        <w:t xml:space="preserve"> </w:t>
      </w:r>
    </w:p>
    <w:p>
      <w:pPr>
        <w:pStyle w:val="Normal"/>
        <w:numPr>
          <w:ilvl w:val="0"/>
          <w:numId w:val="2"/>
        </w:numPr>
        <w:jc w:val="both"/>
        <w:rPr>
          <w:rFonts w:ascii="Arial" w:hAnsi="Arial" w:cs="Arial"/>
        </w:rPr>
      </w:pPr>
      <w:r>
        <w:rPr>
          <w:rFonts w:cs="Arial" w:ascii="Arial" w:hAnsi="Arial"/>
          <w:b/>
          <w:bCs/>
        </w:rPr>
        <w:t>Entire Agreement</w:t>
      </w:r>
      <w:r>
        <w:rPr>
          <w:rFonts w:cs="Arial" w:ascii="Arial" w:hAnsi="Arial"/>
        </w:rPr>
        <w:t>.  The agreements set forth in this Letter Agreement and the attached Exhibit A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Governing Law</w:t>
      </w:r>
      <w:r>
        <w:rPr>
          <w:rFonts w:cs="Arial" w:ascii="Arial" w:hAnsi="Arial"/>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Relationship of the Parties</w:t>
      </w:r>
      <w:r>
        <w:rPr>
          <w:rFonts w:cs="Arial" w:ascii="Arial" w:hAnsi="Arial"/>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Assignment</w:t>
      </w:r>
      <w:r>
        <w:rPr>
          <w:rFonts w:cs="Arial" w:ascii="Arial" w:hAnsi="Arial"/>
        </w:rPr>
        <w:t>.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 Party, but no such assignment shall relieve the assigning party of its obligations hereunder.</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Assignment of Tolling Arrangement</w:t>
      </w:r>
      <w:r>
        <w:rPr>
          <w:rFonts w:cs="Arial" w:ascii="Arial" w:hAnsi="Arial"/>
        </w:rPr>
        <w:t xml:space="preserve">:  In the event ENA terminates this Letter Agreement pursuant to the provisions of Paragraph 2 above, at SCS’s option, Enron Global LNG shall assign to SCS all of its rights and obligations under those certain letter agreements with El Paso Merchant Energy for the sale of LNG and redelivery of gas supply at Southern LNG Inc.’s Elba Island LNG terminal.  Such assignment shall be made pursuant to the terms of that certain Assignment Agreement attached hereto as Exhibit B.  </w:t>
      </w:r>
      <w:r>
        <w:rPr>
          <w:rFonts w:cs="Arial" w:ascii="Arial" w:hAnsi="Arial"/>
          <w:color w:val="FF0000"/>
        </w:rPr>
        <w:t>[Les, provide mark-up along with Exhibit B and value].</w:t>
      </w:r>
    </w:p>
    <w:p>
      <w:pPr>
        <w:pStyle w:val="Normal"/>
        <w:jc w:val="both"/>
        <w:rPr>
          <w:rFonts w:ascii="Arial" w:hAnsi="Arial" w:cs="Arial"/>
        </w:rPr>
      </w:pPr>
      <w:r>
        <w:rPr>
          <w:rFonts w:cs="Arial" w:ascii="Arial" w:hAnsi="Arial"/>
        </w:rPr>
      </w:r>
    </w:p>
    <w:p>
      <w:pPr>
        <w:pStyle w:val="BodyTextIndent"/>
        <w:ind w:firstLine="720" w:start="0" w:end="0"/>
        <w:rPr>
          <w:rFonts w:ascii="Arial" w:hAnsi="Arial" w:cs="Arial"/>
        </w:rPr>
      </w:pPr>
      <w:r>
        <w:rPr>
          <w:rFonts w:cs="Arial" w:ascii="Arial" w:hAnsi="Arial"/>
        </w:rPr>
        <w:t>If the provisions set forth above correctly set forth our binding agreement, please execute each of the enclosed originals of this Letter Agreement in the space provided below.</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ab/>
        <w:tab/>
        <w:t>Sincerely,</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ab/>
        <w:tab/>
        <w:t>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Accepted and agreed to this ___ day of __________, 2001:</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b/>
          <w:bCs/>
        </w:rPr>
      </w:pPr>
      <w:r>
        <w:rPr>
          <w:rFonts w:cs="Arial" w:ascii="Arial" w:hAnsi="Arial"/>
          <w:b/>
          <w:bCs/>
        </w:rPr>
        <w:t>ENRON NORTH AMERICA CORP.</w:t>
      </w:r>
    </w:p>
    <w:p>
      <w:pPr>
        <w:pStyle w:val="Normal"/>
        <w:ind w:start="720" w:end="0"/>
        <w:jc w:val="both"/>
        <w:rPr>
          <w:rFonts w:ascii="Arial" w:hAnsi="Arial" w:cs="Arial"/>
          <w:b/>
          <w:bCs/>
        </w:rPr>
      </w:pPr>
      <w:r>
        <w:rPr>
          <w:rFonts w:cs="Arial" w:ascii="Arial" w:hAnsi="Arial"/>
          <w:b/>
          <w:bCs/>
        </w:rPr>
      </w:r>
    </w:p>
    <w:p>
      <w:pPr>
        <w:pStyle w:val="Normal"/>
        <w:ind w:start="720" w:end="0"/>
        <w:jc w:val="both"/>
        <w:rPr>
          <w:rFonts w:ascii="Arial" w:hAnsi="Arial" w:cs="Arial"/>
        </w:rPr>
      </w:pPr>
      <w:r>
        <w:rPr>
          <w:rFonts w:cs="Arial" w:ascii="Arial" w:hAnsi="Arial"/>
        </w:rPr>
        <w:t>By: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Its: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b/>
          <w:bCs/>
        </w:rPr>
      </w:pPr>
      <w:r>
        <w:rPr>
          <w:rFonts w:cs="Arial" w:ascii="Arial" w:hAnsi="Arial"/>
          <w:b/>
          <w:bCs/>
        </w:rPr>
      </w:r>
    </w:p>
    <w:p>
      <w:pPr>
        <w:pStyle w:val="Normal"/>
        <w:ind w:start="720" w:end="0"/>
        <w:jc w:val="both"/>
        <w:rPr>
          <w:rFonts w:ascii="Arial" w:hAnsi="Arial" w:cs="Arial"/>
          <w:b/>
          <w:bCs/>
        </w:rPr>
      </w:pPr>
      <w:r>
        <w:rPr>
          <w:rFonts w:cs="Arial" w:ascii="Arial" w:hAnsi="Arial"/>
          <w:b/>
          <w:bCs/>
        </w:rPr>
        <w:t>ENRON GLOBAL LNG</w:t>
      </w:r>
    </w:p>
    <w:p>
      <w:pPr>
        <w:pStyle w:val="Normal"/>
        <w:ind w:start="720" w:end="0"/>
        <w:jc w:val="both"/>
        <w:rPr>
          <w:rFonts w:ascii="Arial" w:hAnsi="Arial" w:cs="Arial"/>
          <w:b/>
          <w:bCs/>
        </w:rPr>
      </w:pPr>
      <w:r>
        <w:rPr>
          <w:rFonts w:cs="Arial" w:ascii="Arial" w:hAnsi="Arial"/>
          <w:b/>
          <w:bCs/>
        </w:rPr>
      </w:r>
    </w:p>
    <w:p>
      <w:pPr>
        <w:pStyle w:val="Normal"/>
        <w:ind w:start="720" w:end="0"/>
        <w:jc w:val="both"/>
        <w:rPr>
          <w:rFonts w:ascii="Arial" w:hAnsi="Arial" w:cs="Arial"/>
        </w:rPr>
      </w:pPr>
      <w:r>
        <w:rPr>
          <w:rFonts w:cs="Arial" w:ascii="Arial" w:hAnsi="Arial"/>
        </w:rPr>
        <w:t>By: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Its: _____________________________</w:t>
      </w:r>
      <w:r>
        <w:br w:type="page"/>
      </w:r>
    </w:p>
    <w:p>
      <w:pPr>
        <w:pStyle w:val="Normal"/>
        <w:ind w:start="720" w:end="0"/>
        <w:jc w:val="both"/>
        <w:rPr>
          <w:rFonts w:ascii="Arial" w:hAnsi="Arial" w:cs="Arial"/>
        </w:rPr>
      </w:pPr>
      <w:r>
        <w:rPr>
          <w:rFonts w:cs="Arial" w:ascii="Arial" w:hAnsi="Arial"/>
        </w:rPr>
      </w:r>
    </w:p>
    <w:p>
      <w:pPr>
        <w:pStyle w:val="Heading1"/>
        <w:rPr>
          <w:rFonts w:ascii="Arial" w:hAnsi="Arial" w:cs="Arial"/>
        </w:rPr>
      </w:pPr>
      <w:r>
        <w:rPr>
          <w:rFonts w:cs="Arial" w:ascii="Arial" w:hAnsi="Arial"/>
        </w:rPr>
        <w:t>EXHIBIT 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CONFIRMATION LETTER</w:t>
      </w:r>
    </w:p>
    <w:p>
      <w:pPr>
        <w:pStyle w:val="Normal"/>
        <w:ind w:hanging="720" w:start="720" w:end="0"/>
        <w:jc w:val="center"/>
        <w:rPr>
          <w:rFonts w:ascii="Arial" w:hAnsi="Arial" w:cs="Arial"/>
          <w:b/>
          <w:szCs w:val="20"/>
        </w:rPr>
      </w:pPr>
      <w:r>
        <w:rPr>
          <w:rFonts w:cs="Arial" w:ascii="Arial" w:hAnsi="Arial"/>
          <w:b/>
          <w:szCs w:val="20"/>
        </w:rPr>
      </w:r>
    </w:p>
    <w:p>
      <w:pPr>
        <w:pStyle w:val="BodyText2"/>
        <w:rPr>
          <w:rFonts w:cs="Arial"/>
        </w:rPr>
      </w:pPr>
      <w:r>
        <w:rPr>
          <w:rFonts w:cs="Arial"/>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Normal"/>
        <w:jc w:val="both"/>
        <w:rPr>
          <w:rFonts w:ascii="Arial" w:hAnsi="Arial" w:cs="Arial"/>
          <w:szCs w:val="20"/>
        </w:rPr>
      </w:pPr>
      <w:r>
        <w:rPr>
          <w:rFonts w:cs="Arial" w:ascii="Arial" w:hAnsi="Arial"/>
          <w:szCs w:val="20"/>
        </w:rPr>
      </w:r>
    </w:p>
    <w:p>
      <w:pPr>
        <w:pStyle w:val="BodyText"/>
        <w:ind w:firstLine="720" w:end="0"/>
        <w:rPr>
          <w:rFonts w:ascii="Arial" w:hAnsi="Arial" w:cs="Arial"/>
        </w:rPr>
      </w:pPr>
      <w:r>
        <w:rPr>
          <w:rFonts w:cs="Arial" w:ascii="Arial" w:hAnsi="Arial"/>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rPr>
        <w:t>Term:</w:t>
      </w:r>
      <w:r>
        <w:rPr>
          <w:rFonts w:cs="Arial" w:ascii="Arial" w:hAnsi="Arial"/>
        </w:rPr>
        <w:t xml:space="preserve">  From the earlier of (i) the in-service date of a new gas fired combined cycle electric generating facility to be constructed by Buyer near McIntosh, Georgia (the “Plant”) or (ii) the commercial operation date of the Plant as defined in the initial power sales agreement under which Buyer agrees to sell power generated from the Plant through the expiration of Enron Global LNG’s letter agreements with El Paso Merchant Energy dated _______ </w:t>
      </w:r>
      <w:r>
        <w:rPr>
          <w:rFonts w:cs="Arial" w:ascii="Arial" w:hAnsi="Arial"/>
          <w:color w:val="FF0000"/>
        </w:rPr>
        <w:t xml:space="preserve">[Need date] </w:t>
      </w:r>
      <w:r>
        <w:rPr>
          <w:rFonts w:cs="Arial" w:ascii="Arial" w:hAnsi="Arial"/>
        </w:rPr>
        <w:t xml:space="preserve">for the sale of LNG and redelivery of gas supply at Southern LNG Inc.’s Elba Island marine terminal Facilities (the “LNG Facilities”), which shall not be </w:t>
      </w:r>
      <w:r>
        <w:rPr>
          <w:rFonts w:cs="Arial" w:ascii="Helvetica" w:hAnsi="Helvetica"/>
          <w:strike/>
        </w:rPr>
        <w:t>earlier</w:t>
      </w:r>
      <w:r>
        <w:rPr>
          <w:rFonts w:cs="Arial" w:ascii="Arial" w:hAnsi="Arial"/>
        </w:rPr>
        <w:t xml:space="preserve"> </w:t>
      </w:r>
      <w:r>
        <w:rPr>
          <w:rFonts w:cs="Arial" w:ascii="Arial" w:hAnsi="Arial"/>
          <w:color w:val="FF0000"/>
        </w:rPr>
        <w:t xml:space="preserve">later </w:t>
      </w:r>
      <w:r>
        <w:rPr>
          <w:rFonts w:cs="Arial" w:ascii="Arial" w:hAnsi="Arial"/>
        </w:rPr>
        <w:t xml:space="preserve">than </w:t>
      </w:r>
      <w:r>
        <w:rPr>
          <w:rFonts w:cs="Arial" w:ascii="Arial" w:hAnsi="Arial"/>
          <w:color w:val="FF0000"/>
        </w:rPr>
        <w:t>June 1, 2005</w:t>
      </w:r>
      <w:r>
        <w:rPr>
          <w:rFonts w:cs="Arial" w:ascii="Arial" w:hAnsi="Arial"/>
        </w:rPr>
        <w:t xml:space="preserve">.  </w:t>
      </w:r>
      <w:r>
        <w:rPr>
          <w:rFonts w:cs="Arial" w:ascii="Arial" w:hAnsi="Arial"/>
          <w:color w:val="FF0000"/>
        </w:rPr>
        <w:t xml:space="preserve">[Initial term is 15 years with a Price Renegotiation for the remainder of the LNG agreement with El Paso.  {No later than Jan 1, 2024?  Les help on how term is set up with El Paso Merchant.]  </w:t>
      </w:r>
    </w:p>
    <w:p>
      <w:pPr>
        <w:pStyle w:val="Normal"/>
        <w:jc w:val="both"/>
        <w:rPr>
          <w:rFonts w:ascii="Arial" w:hAnsi="Arial" w:cs="Arial"/>
          <w:color w:val="FF0000"/>
          <w:szCs w:val="20"/>
        </w:rPr>
      </w:pPr>
      <w:r>
        <w:rPr>
          <w:rFonts w:cs="Arial" w:ascii="Arial" w:hAnsi="Arial"/>
          <w:color w:val="FF0000"/>
          <w:szCs w:val="20"/>
        </w:rPr>
      </w:r>
    </w:p>
    <w:p>
      <w:pPr>
        <w:pStyle w:val="Normal"/>
        <w:jc w:val="both"/>
        <w:rPr>
          <w:rFonts w:ascii="Arial" w:hAnsi="Arial" w:cs="Arial"/>
        </w:rPr>
      </w:pPr>
      <w:r>
        <w:rPr>
          <w:rFonts w:cs="Arial" w:ascii="Arial" w:hAnsi="Arial"/>
          <w:b/>
        </w:rPr>
        <w:t>Contract Quantity:</w:t>
      </w:r>
      <w:r>
        <w:rPr>
          <w:rFonts w:cs="Arial" w:ascii="Arial" w:hAnsi="Arial"/>
        </w:rPr>
        <w:t xml:space="preserve">  100,000 MMBtu per day; provided, however, that SCS shall have the option to increase the Contact Quantity from 100,000 MMBtu per day to 160,000 MMBtu per day by providing written notice to Seller of such election not later than </w:t>
      </w:r>
      <w:r>
        <w:rPr>
          <w:rFonts w:cs="Arial" w:ascii="Arial" w:hAnsi="Arial"/>
          <w:color w:val="FF0000"/>
        </w:rPr>
        <w:t>December 15, 2001.</w:t>
      </w:r>
      <w:r>
        <w:rPr>
          <w:rFonts w:cs="Arial" w:ascii="Arial" w:hAnsi="Arial"/>
        </w:rPr>
        <w:t xml:space="preserve">  </w:t>
      </w:r>
      <w:r>
        <w:rPr>
          <w:rFonts w:cs="Arial" w:ascii="Helvetica" w:hAnsi="Helvetica"/>
          <w:strike/>
        </w:rPr>
        <w:t>fifteen (15) days following execution of a power sales agreement with Southern Company or one of its electric utility affiliates covering generation produced from the Plant.</w:t>
      </w:r>
    </w:p>
    <w:p>
      <w:pPr>
        <w:pStyle w:val="Normal"/>
        <w:jc w:val="both"/>
        <w:rPr>
          <w:rFonts w:ascii="Arial" w:hAnsi="Arial" w:cs="Arial"/>
          <w:szCs w:val="20"/>
        </w:rPr>
      </w:pPr>
      <w:r>
        <w:rPr>
          <w:rFonts w:cs="Arial" w:ascii="Arial" w:hAnsi="Arial"/>
          <w:szCs w:val="20"/>
        </w:rPr>
      </w:r>
    </w:p>
    <w:p>
      <w:pPr>
        <w:pStyle w:val="Normal"/>
        <w:jc w:val="both"/>
        <w:rPr>
          <w:rFonts w:ascii="Helvetica" w:hAnsi="Helvetica" w:cs="Arial"/>
          <w:strike/>
          <w:szCs w:val="20"/>
        </w:rPr>
      </w:pPr>
      <w:r>
        <w:rPr>
          <w:rFonts w:eastAsia="Arial" w:cs="Arial" w:ascii="Arial" w:hAnsi="Arial"/>
          <w:b/>
        </w:rPr>
        <w:t xml:space="preserve"> </w:t>
      </w:r>
      <w:r>
        <w:rPr>
          <w:rFonts w:cs="Arial" w:ascii="Arial" w:hAnsi="Arial"/>
          <w:b/>
        </w:rPr>
        <w:t>Delivery Point:</w:t>
      </w:r>
      <w:r>
        <w:rPr>
          <w:rFonts w:cs="Arial" w:ascii="Arial" w:hAnsi="Arial"/>
        </w:rPr>
        <w:t xml:space="preserve"> The </w:t>
      </w:r>
      <w:r>
        <w:rPr>
          <w:rFonts w:cs="Arial" w:ascii="Helvetica" w:hAnsi="Helvetica"/>
          <w:strike/>
        </w:rPr>
        <w:t>Primary</w:t>
      </w:r>
      <w:r>
        <w:rPr>
          <w:rFonts w:cs="Arial" w:ascii="Arial" w:hAnsi="Arial"/>
        </w:rPr>
        <w:t xml:space="preserve"> Delivery Point shall be at the point of interconnection between the LNG Facilities of Southern LNG Inc. and any downstream pipeline, as selected by Buyer at any time and from time to time.  </w:t>
      </w:r>
      <w:r>
        <w:rPr>
          <w:rFonts w:cs="Arial" w:ascii="Helvetica" w:hAnsi="Helvetica"/>
          <w:strike/>
        </w:rPr>
        <w:t xml:space="preserve">In the event Seller or any of its affiliates constructs a pipeline extending from the LNG Facilities to a mutually agreeable connection point (“Secondary Delivery Point”) on Buyer’s lateral extending to the Plant from Southern Natural Gas Company’s pipeline system, Seller shall have the option at any time and from time to time of making deliveries of gas hereunder at such Secondary Delivery Point in lieu of making deliveries at the Primary Delivery Point.  Buyer hereby grants Seller or its affiliates the right to construct, at its or their cost, an interconnection between Seller or its affiliates’ pipeline and the Secondary Delivery Point; provided that (i) the design and operation of such interconnection shall be subject to Buyer’s prior written approval, such approval not to be unreasonably withheld; (ii) the construction of such interconnection shall not interfere with Buyer’s operations at the Plant, and (iii) Seller indemnifies Buyer for all claims, losses, damages and expenses associated with the design, construction, operation, maintenance and abandonment  of the interconnecting facilities and Seller or its affiliates’ upstream pipeline. </w:t>
      </w:r>
    </w:p>
    <w:p>
      <w:pPr>
        <w:pStyle w:val="Normal"/>
        <w:jc w:val="both"/>
        <w:rPr>
          <w:rFonts w:ascii="Arial" w:hAnsi="Arial" w:cs="Arial"/>
          <w:strike/>
          <w:szCs w:val="20"/>
        </w:rPr>
      </w:pPr>
      <w:r>
        <w:rPr>
          <w:rFonts w:cs="Arial" w:ascii="Arial" w:hAnsi="Arial"/>
          <w:strike/>
          <w:szCs w:val="20"/>
        </w:rPr>
      </w:r>
    </w:p>
    <w:p>
      <w:pPr>
        <w:pStyle w:val="Normal"/>
        <w:jc w:val="both"/>
        <w:rPr/>
      </w:pPr>
      <w:r>
        <w:rPr>
          <w:rFonts w:cs="Arial" w:ascii="Arial" w:hAnsi="Arial"/>
          <w:b/>
        </w:rPr>
        <w:t>Contract Price:</w:t>
      </w:r>
      <w:r>
        <w:rPr>
          <w:rFonts w:cs="Arial" w:ascii="Arial" w:hAnsi="Arial"/>
        </w:rPr>
        <w:t xml:space="preserve">  The Contact Price for each MMBtu of gas delivered hereunder shall be comprised of (i) a Demand Charge of [______________] per MMBtu for gas delivered at the </w:t>
      </w:r>
      <w:r>
        <w:rPr>
          <w:rFonts w:cs="Arial" w:ascii="Helvetica" w:hAnsi="Helvetica"/>
          <w:strike/>
        </w:rPr>
        <w:t>Primary</w:t>
      </w:r>
      <w:r>
        <w:rPr>
          <w:rFonts w:cs="Arial" w:ascii="Arial" w:hAnsi="Arial"/>
        </w:rPr>
        <w:t xml:space="preserve"> Delivery Point </w:t>
      </w:r>
      <w:r>
        <w:rPr>
          <w:rFonts w:cs="Arial" w:ascii="Helvetica" w:hAnsi="Helvetica"/>
          <w:strike/>
        </w:rPr>
        <w:t>or a Demand Charge of [____________]</w:t>
      </w:r>
      <w:r>
        <w:rPr>
          <w:rFonts w:cs="Arial" w:ascii="Helvetica" w:hAnsi="Helvetica"/>
          <w:strike/>
          <w:vanish/>
        </w:rPr>
        <w:t xml:space="preserve">rty eight cents </w:t>
      </w:r>
      <w:r>
        <w:rPr>
          <w:rFonts w:cs="Arial" w:ascii="Helvetica" w:hAnsi="Helvetica"/>
          <w:strike/>
        </w:rPr>
        <w:t xml:space="preserve"> </w:t>
      </w:r>
      <w:r>
        <w:rPr>
          <w:rFonts w:cs="Arial" w:ascii="Helvetica" w:hAnsi="Helvetica"/>
          <w:strike/>
          <w:vanish/>
        </w:rPr>
        <w:t xml:space="preserve">($.38) </w:t>
      </w:r>
      <w:r>
        <w:rPr>
          <w:rFonts w:cs="Arial" w:ascii="Helvetica" w:hAnsi="Helvetica"/>
          <w:strike/>
        </w:rPr>
        <w:t>per MMBtu for gas delivered at the Secondary Delivery Point</w:t>
      </w:r>
      <w:r>
        <w:rPr>
          <w:rFonts w:cs="Arial" w:ascii="Arial" w:hAnsi="Arial"/>
        </w:rPr>
        <w:t xml:space="preserve">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  </w:t>
      </w:r>
      <w:r>
        <w:rPr>
          <w:rFonts w:cs="Arial" w:ascii="Helvetica" w:hAnsi="Helvetica"/>
          <w:strike/>
        </w:rPr>
        <w:t>[Notwithstanding the foregoing, in the event Buyer or any of its affiliates construct a line extending from the LNG Facilities to the Plant, the Demand Charge shall be adjusted to [__________________] per MMBtu.]</w:t>
      </w:r>
    </w:p>
    <w:p>
      <w:pPr>
        <w:pStyle w:val="Normal"/>
        <w:jc w:val="both"/>
        <w:rPr>
          <w:rFonts w:ascii="Helvetica" w:hAnsi="Helvetica" w:cs="Arial"/>
          <w:b/>
          <w:bCs/>
          <w:strike/>
          <w:szCs w:val="20"/>
        </w:rPr>
      </w:pPr>
      <w:r>
        <w:rPr>
          <w:rFonts w:cs="Arial" w:ascii="Helvetica" w:hAnsi="Helvetica"/>
          <w:b/>
          <w:bCs/>
          <w:strike/>
        </w:rPr>
        <w:t>[need to discuss further]</w:t>
      </w:r>
    </w:p>
    <w:p>
      <w:pPr>
        <w:pStyle w:val="Normal"/>
        <w:jc w:val="both"/>
        <w:rPr>
          <w:rFonts w:ascii="Arial" w:hAnsi="Arial" w:cs="Arial"/>
          <w:b/>
          <w:bCs/>
          <w:strike/>
          <w:szCs w:val="20"/>
        </w:rPr>
      </w:pPr>
      <w:r>
        <w:rPr>
          <w:rFonts w:cs="Arial" w:ascii="Arial" w:hAnsi="Arial"/>
          <w:b/>
          <w:bCs/>
          <w:strike/>
          <w:szCs w:val="20"/>
        </w:rPr>
      </w:r>
    </w:p>
    <w:p>
      <w:pPr>
        <w:pStyle w:val="Normal"/>
        <w:jc w:val="both"/>
        <w:rPr/>
      </w:pPr>
      <w:r>
        <w:rPr>
          <w:rFonts w:cs="Arial" w:ascii="Arial" w:hAnsi="Arial"/>
          <w:b/>
          <w:bCs/>
          <w:szCs w:val="20"/>
        </w:rPr>
        <w:t>Price Renegotiation:</w:t>
      </w:r>
      <w:r>
        <w:rPr>
          <w:rFonts w:cs="Arial" w:ascii="Arial" w:hAnsi="Arial"/>
          <w:szCs w:val="20"/>
        </w:rPr>
        <w:t xml:space="preserve">  Either Party shall have the right to request that the Contract Price set forth above be renegotiated and revised pricing made effective as of the expiration of the term of the initial power sales agreement under which Buyer sells power generated from the Plant (the “Price Renegotiation Effective Date”).  As soon as the Price Renegotiation Effective Date becomes known, Buyer shall be required to provide Seller with written notification of such date.  In the event either Party desires to renegotiate the Contract Price, it shall provide the other Party with at least twelve (12) months written notice prior to the Price Renegotiation Effective Date.  Following receipt by the other Party of such notice, the Parties shall commence good faith negotiations with respect to the renegotiated Contract Price.  In the event the Parties have not reached agreement as to such renegotiated Contract Price by no later than six (6) months prior to the Price Renegotiation Effective Date, unless the Parties otherwise agree, the Contract Price following such Price Renegotiation Effective Date shall be decided pursuant to the Dispute Resolution procedures set forth herein.  In such event Buyer shall continue to pay Seller the existing Contract Price until such time as a new price is established pursuant to the Dispute Resolution procedures, in which case the new Contract Price shall be implemented effective as of the Price Renegotiation Effective Date.  </w:t>
      </w:r>
      <w:r>
        <w:rPr>
          <w:rFonts w:cs="Arial" w:ascii="Arial" w:hAnsi="Arial"/>
          <w:color w:val="FF0000"/>
          <w:szCs w:val="20"/>
        </w:rPr>
        <w:t xml:space="preserve">In no event, shall the Contract Price be less than the following; </w:t>
      </w:r>
      <w:r>
        <w:rPr>
          <w:rFonts w:cs="Arial" w:ascii="Arial" w:hAnsi="Arial"/>
          <w:color w:val="FF0000"/>
        </w:rPr>
        <w:t xml:space="preserve">(i) a Demand Charge of $.15 per MMBtu </w:t>
      </w:r>
      <w:r>
        <w:rPr>
          <w:rFonts w:cs="Arial" w:ascii="Helvetica" w:hAnsi="Helvetica"/>
          <w:strike/>
          <w:vanish/>
          <w:color w:val="FF0000"/>
        </w:rPr>
        <w:t xml:space="preserve">rty eight cents </w:t>
      </w:r>
      <w:r>
        <w:rPr>
          <w:rFonts w:cs="Arial" w:ascii="Arial" w:hAnsi="Arial"/>
          <w:color w:val="FF0000"/>
        </w:rPr>
        <w:t xml:space="preserve">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w:t>
      </w:r>
    </w:p>
    <w:p>
      <w:pPr>
        <w:pStyle w:val="Normal"/>
        <w:jc w:val="both"/>
        <w:rPr>
          <w:rFonts w:ascii="Arial" w:hAnsi="Arial" w:cs="Arial"/>
          <w:color w:val="FF0000"/>
        </w:rPr>
      </w:pPr>
      <w:r>
        <w:rPr>
          <w:rFonts w:cs="Arial" w:ascii="Arial" w:hAnsi="Arial"/>
          <w:color w:val="FF0000"/>
        </w:rPr>
      </w:r>
    </w:p>
    <w:p>
      <w:pPr>
        <w:pStyle w:val="Normal"/>
        <w:jc w:val="both"/>
        <w:rPr>
          <w:rFonts w:ascii="Arial" w:hAnsi="Arial" w:cs="Arial"/>
          <w:color w:val="FF0000"/>
          <w:szCs w:val="20"/>
        </w:rPr>
      </w:pPr>
      <w:r>
        <w:rPr>
          <w:rFonts w:cs="Arial" w:ascii="Arial" w:hAnsi="Arial"/>
          <w:color w:val="FF0000"/>
          <w:szCs w:val="20"/>
        </w:rPr>
      </w:r>
    </w:p>
    <w:p>
      <w:pPr>
        <w:pStyle w:val="Normal"/>
        <w:jc w:val="both"/>
        <w:rPr/>
      </w:pPr>
      <w:r>
        <w:rPr>
          <w:rFonts w:cs="Arial" w:ascii="Arial" w:hAnsi="Arial"/>
          <w:b/>
        </w:rPr>
        <w:t>Other Provisions:</w:t>
      </w:r>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color w:val="FF0000"/>
          <w:szCs w:val="20"/>
        </w:rPr>
      </w:pPr>
      <w:r>
        <w:rPr>
          <w:rFonts w:cs="Arial" w:ascii="Arial" w:hAnsi="Arial"/>
          <w:b/>
          <w:bCs/>
        </w:rPr>
        <w:t>Conditions Precedent:</w:t>
      </w:r>
      <w:r>
        <w:rPr>
          <w:rFonts w:cs="Arial" w:ascii="Arial" w:hAnsi="Arial"/>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w:t>
      </w:r>
      <w:r>
        <w:rPr>
          <w:rFonts w:cs="Arial" w:ascii="Arial" w:hAnsi="Arial"/>
          <w:color w:val="FF0000"/>
        </w:rPr>
        <w:t>December 15, 2001</w:t>
      </w:r>
      <w:r>
        <w:rPr>
          <w:rFonts w:cs="Arial" w:ascii="Arial" w:hAnsi="Arial"/>
        </w:rPr>
        <w:t xml:space="preserve">.  Seller’s obligations under this Confirmation Letter shall be subject to and conditioned upon the receipt by the appropriate Enron entities importing LNG into the United States and/or constructing, owning or operating the Venezuelan Facilities by no later than October 1, 2001, in such form and substance as may be acceptable to Seller of any and all licenses, permits, authorizations, or other approvals necessary to reactivate, construct, and operate the Venezuelan Facilities and to import LNG into the United States.  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   </w:t>
      </w:r>
      <w:r>
        <w:rPr>
          <w:rFonts w:cs="Arial" w:ascii="Arial" w:hAnsi="Arial"/>
          <w:color w:val="FF0000"/>
        </w:rPr>
        <w:t>[Dan, this clause allows SCS to sign the Confirmation after the end of the year, by Jan 15 – i.e. they win the bid but do not execute.  I think I would like to give them this right but still hold to them getting to sign a deal before the end of the year – a little help on this one.]</w:t>
      </w:r>
    </w:p>
    <w:p>
      <w:pPr>
        <w:pStyle w:val="Normal"/>
        <w:jc w:val="both"/>
        <w:rPr>
          <w:rFonts w:ascii="Arial" w:hAnsi="Arial" w:cs="Arial"/>
          <w:color w:val="FF0000"/>
          <w:szCs w:val="20"/>
        </w:rPr>
      </w:pPr>
      <w:r>
        <w:rPr>
          <w:rFonts w:cs="Arial" w:ascii="Arial" w:hAnsi="Arial"/>
          <w:color w:val="FF0000"/>
          <w:szCs w:val="20"/>
        </w:rPr>
      </w:r>
    </w:p>
    <w:p>
      <w:pPr>
        <w:pStyle w:val="Normal"/>
        <w:jc w:val="both"/>
        <w:rPr/>
      </w:pPr>
      <w:r>
        <w:rPr>
          <w:rFonts w:cs="Arial" w:ascii="Arial" w:hAnsi="Arial"/>
          <w:b/>
          <w:bCs/>
          <w:szCs w:val="20"/>
        </w:rPr>
        <w:t>Liquidated Damages:</w:t>
      </w:r>
      <w:r>
        <w:rPr>
          <w:rFonts w:cs="Arial" w:ascii="Arial" w:hAnsi="Arial"/>
          <w:szCs w:val="20"/>
        </w:rPr>
        <w:t xml:space="preserve">  For purposes of this Transaction only, the Parties do hereby agree to amend the Agreement by deleting the existing Sections 7.2 and 7.3 and substituting the following Sections 7.2 and 7.3 therefor:</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rPr>
        <w:t>7.2</w:t>
        <w:tab/>
        <w:t xml:space="preserve">In the event Buyer’s actual purchases of Gas under a Transaction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highest price reasonably available to Seller under the circumstances at which Seller is able to remarket the Buyer Deficiency Quantity. </w:t>
      </w:r>
      <w:r>
        <w:rPr>
          <w:rFonts w:cs="Arial" w:ascii="Arial" w:hAnsi="Arial"/>
          <w:color w:val="FF0000"/>
        </w:rPr>
        <w:t xml:space="preserve">[Dan, lets discuss language that was here regarding ENA not remarketing the Deficiency Quantity].  </w:t>
      </w:r>
      <w:r>
        <w:rPr>
          <w:rFonts w:cs="Arial" w:ascii="Arial" w:hAnsi="Arial"/>
        </w:rPr>
        <w:t>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p>
    <w:p>
      <w:pPr>
        <w:pStyle w:val="Normal"/>
        <w:jc w:val="both"/>
        <w:rPr>
          <w:rFonts w:ascii="Arial" w:hAnsi="Arial" w:cs="Arial"/>
          <w:szCs w:val="20"/>
        </w:rPr>
      </w:pPr>
      <w:r>
        <w:rPr>
          <w:rFonts w:cs="Arial" w:ascii="Arial" w:hAnsi="Arial"/>
          <w:szCs w:val="20"/>
        </w:rPr>
      </w:r>
    </w:p>
    <w:p>
      <w:pPr>
        <w:pStyle w:val="Level1"/>
        <w:keepNext w:val="false"/>
        <w:numPr>
          <w:ilvl w:val="1"/>
          <w:numId w:val="6"/>
        </w:numPr>
        <w:ind w:hanging="0" w:start="0" w:end="0"/>
        <w:rPr>
          <w:rFonts w:ascii="Arial" w:hAnsi="Arial" w:cs="Arial"/>
          <w:szCs w:val="24"/>
        </w:rPr>
      </w:pPr>
      <w:r>
        <w:rPr>
          <w:rFonts w:cs="Arial" w:ascii="Arial" w:hAnsi="Arial"/>
          <w:szCs w:val="24"/>
        </w:rPr>
        <w:t>In the event Seller’s actual deliveries of Gas under a Transaction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szCs w:val="20"/>
        </w:rPr>
        <w:t>Force Majeure:</w:t>
      </w:r>
      <w:r>
        <w:rPr>
          <w:rFonts w:cs="Arial" w:ascii="Arial" w:hAnsi="Arial"/>
          <w:szCs w:val="20"/>
        </w:rPr>
        <w:t xml:space="preserve">  For purposes of this Transaction only, the Parties do hereby agree to amend the Agreement by deleting the existing Article 15 and substituting the following Article 15 therefor:</w:t>
      </w:r>
    </w:p>
    <w:p>
      <w:pPr>
        <w:pStyle w:val="Normal"/>
        <w:jc w:val="both"/>
        <w:rPr>
          <w:rFonts w:ascii="Arial" w:hAnsi="Arial" w:cs="Arial"/>
          <w:szCs w:val="20"/>
        </w:rPr>
      </w:pPr>
      <w:r>
        <w:rPr>
          <w:rFonts w:cs="Arial" w:ascii="Arial" w:hAnsi="Arial"/>
          <w:szCs w:val="20"/>
        </w:rPr>
      </w:r>
    </w:p>
    <w:p>
      <w:pPr>
        <w:pStyle w:val="BodyText"/>
        <w:rPr/>
      </w:pPr>
      <w:r>
        <w:rPr>
          <w:rFonts w:cs="Arial" w:ascii="Arial" w:hAnsi="Arial"/>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or unavailability of applicable firm transportation by Transporter(s), hurricanes, storms, storm warnings, or other similar weather related events that interfere with the ability of LNG tankers to make timely delivery of Seller’s LNG to the LNG Facilities the interruption or curtailment of firm terminalling services by Southern LNG, Inc. under Section 8.3 of the General Terms and Conditions of its FERC Gas Tariff (or any successor provision), inability of an LNG Tanker shipping Seller’s LNG to the LNG Facilities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Notwithstanding anything to the contrary in this Agreement, Force Majeure specifically excludes the failure of or loss of any specific source of LNG or the availability of better prices from other suppliers or customers, or the interruption of interruptible or secondary firm transportation by Transporter.  </w:t>
      </w:r>
      <w:r>
        <w:rPr>
          <w:rFonts w:cs="Arial" w:ascii="Arial" w:hAnsi="Arial"/>
          <w:color w:val="FF0000"/>
        </w:rPr>
        <w:t>[Shipping Schedule language]</w:t>
      </w:r>
    </w:p>
    <w:p>
      <w:pPr>
        <w:pStyle w:val="Normal"/>
        <w:jc w:val="both"/>
        <w:rPr>
          <w:rFonts w:ascii="Arial" w:hAnsi="Arial" w:cs="Arial"/>
          <w:color w:val="FF0000"/>
          <w:szCs w:val="20"/>
        </w:rPr>
      </w:pPr>
      <w:r>
        <w:rPr>
          <w:rFonts w:cs="Arial" w:ascii="Arial" w:hAnsi="Arial"/>
          <w:color w:val="FF0000"/>
          <w:szCs w:val="20"/>
        </w:rPr>
      </w:r>
    </w:p>
    <w:p>
      <w:pPr>
        <w:pStyle w:val="Normal"/>
        <w:jc w:val="both"/>
        <w:rPr/>
      </w:pPr>
      <w:r>
        <w:rPr>
          <w:rFonts w:cs="Arial" w:ascii="Arial" w:hAnsi="Arial"/>
          <w:b/>
          <w:bCs/>
        </w:rPr>
        <w:t>Binding Arbitration:</w:t>
      </w:r>
      <w:r>
        <w:rPr>
          <w:rFonts w:cs="Arial" w:ascii="Arial" w:hAnsi="Arial"/>
        </w:rPr>
        <w:t xml:space="preserve">  </w:t>
      </w:r>
      <w:r>
        <w:rPr>
          <w:rFonts w:cs="Arial" w:ascii="Arial" w:hAnsi="Arial"/>
          <w:szCs w:val="20"/>
        </w:rPr>
        <w:t xml:space="preserve">For purposes of this Transaction only, the Parties do hereby agree to the following arbitration provision: </w:t>
      </w:r>
    </w:p>
    <w:p>
      <w:pPr>
        <w:pStyle w:val="BodyText"/>
        <w:rPr>
          <w:rFonts w:ascii="Arial" w:hAnsi="Arial" w:cs="Arial"/>
          <w:szCs w:val="20"/>
        </w:rPr>
      </w:pPr>
      <w:r>
        <w:rPr>
          <w:rFonts w:cs="Arial" w:ascii="Arial" w:hAnsi="Arial"/>
          <w:szCs w:val="20"/>
        </w:rPr>
      </w:r>
    </w:p>
    <w:p>
      <w:pPr>
        <w:pStyle w:val="BodyText"/>
        <w:rPr>
          <w:rFonts w:ascii="Arial" w:hAnsi="Arial" w:cs="Arial"/>
        </w:rPr>
      </w:pPr>
      <w:r>
        <w:rPr>
          <w:rFonts w:cs="Arial" w:ascii="Arial" w:hAnsi="Arial"/>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rFonts w:ascii="Arial" w:hAnsi="Arial" w:cs="Arial"/>
          <w:szCs w:val="20"/>
        </w:rPr>
      </w:pPr>
      <w:r>
        <w:rPr>
          <w:rFonts w:cs="Arial" w:ascii="Arial" w:hAnsi="Arial"/>
          <w:szCs w:val="20"/>
        </w:rPr>
      </w:r>
    </w:p>
    <w:p>
      <w:pPr>
        <w:pStyle w:val="BodyText2"/>
        <w:rPr>
          <w:rFonts w:cs="Arial"/>
        </w:rPr>
      </w:pPr>
      <w:r>
        <w:rPr>
          <w:rFonts w:cs="Arial"/>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Arial" w:hAnsi="Arial" w:cs="Arial"/>
        </w:rPr>
      </w:pPr>
      <w:r>
        <w:rPr>
          <w:rFonts w:cs="Arial" w:ascii="Arial" w:hAnsi="Arial"/>
        </w:rPr>
      </w:r>
    </w:p>
    <w:p>
      <w:pPr>
        <w:pStyle w:val="BodyText"/>
        <w:tabs>
          <w:tab w:val="clear" w:pos="720"/>
          <w:tab w:val="left" w:pos="4320" w:leader="none"/>
        </w:tabs>
        <w:rPr>
          <w:rFonts w:ascii="Arial" w:hAnsi="Arial" w:cs="Arial"/>
          <w:szCs w:val="20"/>
        </w:rPr>
      </w:pPr>
      <w:r>
        <w:rPr>
          <w:rFonts w:cs="Arial" w:ascii="Arial" w:hAnsi="Arial"/>
        </w:rPr>
        <w:t xml:space="preserve">SOUTHERN COMPANY SERVICES, </w:t>
        <w:tab/>
        <w:t>ENRON NORTH AMERICA CORP. INC.</w:t>
        <w:tab/>
        <w:tab/>
        <w:tab/>
        <w:tab/>
        <w:tab/>
      </w:r>
    </w:p>
    <w:p>
      <w:pPr>
        <w:pStyle w:val="Normal"/>
        <w:jc w:val="both"/>
        <w:rPr>
          <w:rFonts w:ascii="Arial" w:hAnsi="Arial" w:cs="Arial"/>
          <w:szCs w:val="20"/>
        </w:rPr>
      </w:pPr>
      <w:r>
        <w:rPr>
          <w:rFonts w:cs="Arial" w:ascii="Arial" w:hAnsi="Arial"/>
        </w:rPr>
        <w:t>“</w:t>
      </w:r>
      <w:r>
        <w:rPr>
          <w:rFonts w:cs="Arial" w:ascii="Arial" w:hAnsi="Arial"/>
        </w:rPr>
        <w:t>Buyer”</w:t>
        <w:tab/>
        <w:tab/>
        <w:tab/>
        <w:tab/>
        <w:tab/>
        <w:t>“Seller”</w:t>
      </w:r>
    </w:p>
    <w:p>
      <w:pPr>
        <w:pStyle w:val="Normal"/>
        <w:jc w:val="both"/>
        <w:rPr>
          <w:rFonts w:ascii="Arial" w:hAnsi="Arial" w:cs="Arial"/>
          <w:szCs w:val="20"/>
        </w:rPr>
      </w:pPr>
      <w:r>
        <w:rPr>
          <w:rFonts w:cs="Arial" w:ascii="Arial" w:hAnsi="Arial"/>
          <w:szCs w:val="20"/>
        </w:rPr>
      </w:r>
    </w:p>
    <w:p>
      <w:pPr>
        <w:pStyle w:val="Heading1"/>
        <w:tabs>
          <w:tab w:val="clear" w:pos="720"/>
          <w:tab w:val="left" w:pos="4320" w:leader="none"/>
        </w:tabs>
        <w:ind w:start="0" w:end="0"/>
        <w:jc w:val="both"/>
        <w:rPr>
          <w:rFonts w:ascii="Arial" w:hAnsi="Arial" w:cs="Arial"/>
          <w:b w:val="false"/>
          <w:bCs w:val="false"/>
        </w:rPr>
      </w:pPr>
      <w:r>
        <w:rPr>
          <w:rFonts w:cs="Arial" w:ascii="Arial" w:hAnsi="Arial"/>
          <w:b w:val="false"/>
          <w:bCs w:val="false"/>
        </w:rPr>
        <w:t>By:________________________</w:t>
        <w:tab/>
        <w:t>By:_________________________</w:t>
      </w:r>
    </w:p>
    <w:p>
      <w:pPr>
        <w:pStyle w:val="Normal"/>
        <w:jc w:val="both"/>
        <w:rPr>
          <w:rFonts w:ascii="Arial" w:hAnsi="Arial" w:cs="Arial"/>
          <w:b/>
          <w:bCs/>
          <w:szCs w:val="20"/>
        </w:rPr>
      </w:pPr>
      <w:r>
        <w:rPr>
          <w:rFonts w:cs="Arial" w:ascii="Arial" w:hAnsi="Arial"/>
          <w:b/>
          <w:bCs/>
          <w:szCs w:val="20"/>
        </w:rPr>
      </w:r>
    </w:p>
    <w:p>
      <w:pPr>
        <w:pStyle w:val="Heading1"/>
        <w:tabs>
          <w:tab w:val="clear" w:pos="720"/>
          <w:tab w:val="left" w:pos="4320" w:leader="none"/>
        </w:tabs>
        <w:ind w:start="0" w:end="0"/>
        <w:jc w:val="both"/>
        <w:rPr>
          <w:rFonts w:ascii="Arial" w:hAnsi="Arial" w:cs="Arial"/>
        </w:rPr>
      </w:pPr>
      <w:r>
        <w:rPr>
          <w:rFonts w:cs="Arial" w:ascii="Arial" w:hAnsi="Arial"/>
          <w:b w:val="false"/>
          <w:bCs w:val="false"/>
        </w:rPr>
        <w:t>Title:_______________________</w:t>
        <w:tab/>
        <w:t>Title:________________________</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Level1"/>
        <w:keepNext w:val="false"/>
        <w:numPr>
          <w:ilvl w:val="0"/>
          <w:numId w:val="0"/>
        </w:numPr>
        <w:ind w:hanging="0" w:start="0"/>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lvl>
  </w:abstractNum>
  <w:abstractNum w:abstractNumId="3">
    <w:lvl w:ilvl="0">
      <w:start w:val="1"/>
      <w:numFmt w:val="lowerRoman"/>
      <w:lvlText w:val="(%1)"/>
      <w:lvlJc w:val="start"/>
      <w:pPr>
        <w:tabs>
          <w:tab w:val="num" w:pos="780"/>
        </w:tabs>
        <w:ind w:start="780" w:hanging="720"/>
      </w:pPr>
      <w:rPr/>
    </w:lvl>
  </w:abstractNum>
  <w:abstractNum w:abstractNumId="4">
    <w:lvl w:ilvl="0">
      <w:start w:val="7"/>
      <w:numFmt w:val="decimal"/>
      <w:lvlText w:val="%1"/>
      <w:lvlJc w:val="start"/>
      <w:pPr>
        <w:tabs>
          <w:tab w:val="num" w:pos="720"/>
        </w:tabs>
        <w:ind w:start="720" w:hanging="720"/>
      </w:pPr>
    </w:lvl>
    <w:lvl w:ilvl="1">
      <w:start w:val="3"/>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720"/>
        </w:tabs>
        <w:ind w:start="720" w:hanging="72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4"/>
    <w:lvlOverride w:ilvl="0">
      <w:startOverride w:val="7"/>
    </w:lvlOverride>
    <w:lvlOverride w:ilvl="1">
      <w:startOverride w:val="3"/>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eastAsia="Arial Unicode MS"/>
      <w:b/>
      <w:bCs/>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3"/>
      </w:numPr>
      <w:tabs>
        <w:tab w:val="left" w:pos="720" w:leader="none"/>
      </w:tabs>
      <w:jc w:val="both"/>
    </w:pPr>
    <w:rPr>
      <w:szCs w:val="20"/>
    </w:rPr>
  </w:style>
  <w:style w:type="paragraph" w:styleId="BodyText3">
    <w:name w:val="Body Text 3"/>
    <w:basedOn w:val="Normal"/>
    <w:qFormat/>
    <w:pPr>
      <w:jc w:val="both"/>
    </w:pPr>
    <w:rPr>
      <w:rFonts w:ascii="Arial" w:hAnsi="Arial" w:cs="Arial"/>
      <w:b/>
      <w:bCs/>
      <w:szCs w:val="20"/>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2001-04-22T19:46:00Z</dcterms:created>
  <dc:creator>Donna Bailey</dc:creator>
  <dc:description/>
  <dc:language>en-CA</dc:language>
  <cp:lastModifiedBy>pdemoes</cp:lastModifiedBy>
  <cp:lastPrinted>2001-04-22T17:20:00Z</cp:lastPrinted>
  <dcterms:modified xsi:type="dcterms:W3CDTF">2001-04-22T19:50:00Z</dcterms:modified>
  <cp:revision>3</cp:revision>
  <dc:subject/>
  <dc:title>CONFIRMATION LETTER</dc:title>
</cp:coreProperties>
</file>