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end="0"/>
        <w:rPr/>
      </w:pPr>
      <w:r>
        <w:rPr/>
        <w:t>Southern Services Company Order – March 14 2000</w:t>
      </w:r>
    </w:p>
    <w:p>
      <w:pPr>
        <w:pStyle w:val="BodyTextIndent"/>
        <w:rPr/>
      </w:pPr>
      <w:r>
        <w:rPr/>
      </w:r>
    </w:p>
    <w:p>
      <w:pPr>
        <w:pStyle w:val="BodyTextIndent"/>
        <w:rPr/>
      </w:pPr>
      <w:r>
        <w:rPr/>
      </w:r>
    </w:p>
    <w:p>
      <w:pPr>
        <w:pStyle w:val="BodyTextIndent"/>
        <w:rPr/>
      </w:pPr>
      <w:r>
        <w:rPr/>
        <w:t>On March 14, 2000, the Federal Energy Regulatory Commission (FERC) denied the Southern Company Services (Southern) petition for a declaratory order regarding the requirements applicable to becoming a Regional Transmission Organization (RTO)  (Docket No. RT01-77-000).  FERC rejected the notion that an RTO could apply only to new wholesale transmission services or that the benefits of certain rate incentives could flow to entities other than the RTO.   Although not requiring Southern to join GridSouth, FERC suggested Southern consider joining Gridsouth in lieu of filing its own RTO proposal.</w:t>
      </w:r>
    </w:p>
    <w:p>
      <w:pPr>
        <w:pStyle w:val="BodyTextIndent"/>
        <w:rPr/>
      </w:pPr>
      <w:r>
        <w:rPr/>
      </w:r>
    </w:p>
    <w:p>
      <w:pPr>
        <w:pStyle w:val="BodyTextIndent"/>
        <w:rPr/>
      </w:pPr>
      <w:r>
        <w:rPr/>
        <w:t xml:space="preserve">Noting that it was still considering it options, Southern sought FERC guidance on the appropriateness of meeting Order No. 2000 through a for-profit grid company (Gridco) comprised of the five Southern Companies.  The Gridco would only offer transmission services to new wholesale services or load.  “Existing transmission owners’ transmission services related to bundled retail service or native load would not be under the Gridco’s control” (p2), and service to existing wholesale native load is also not under the Gridco’s control.  Southern also proposed several incentive mechanisms to motivate the Gridco to maintain reliability, and reduce operational, administrative and congestion costs.  </w:t>
      </w:r>
    </w:p>
    <w:p>
      <w:pPr>
        <w:pStyle w:val="BodyTextIndent"/>
        <w:rPr/>
      </w:pPr>
      <w:r>
        <w:rPr/>
      </w:r>
    </w:p>
    <w:p>
      <w:pPr>
        <w:pStyle w:val="BodyTextIndent"/>
        <w:rPr>
          <w:u w:val="single"/>
        </w:rPr>
      </w:pPr>
      <w:r>
        <w:rPr>
          <w:u w:val="single"/>
        </w:rPr>
        <w:t>Scope of Services the RTO Offers</w:t>
      </w:r>
    </w:p>
    <w:p>
      <w:pPr>
        <w:pStyle w:val="BodyTextIndent"/>
        <w:rPr/>
      </w:pPr>
      <w:r>
        <w:rPr/>
      </w:r>
    </w:p>
    <w:p>
      <w:pPr>
        <w:pStyle w:val="BodyTextIndent"/>
        <w:rPr/>
      </w:pPr>
      <w:r>
        <w:rPr/>
        <w:t xml:space="preserve">In address the Southern’s proposal, FERC concluded that placing only new wholesale service under the RTO’s tariff was insufficient to meet the requirements of Order No. 2000.   The FERC reiterated that Order No. 2000 requires that “an RTO be the only provider of transmission services over the facilities under its control” (p3); or stated another way, the RTO must control all transmission facilities within its region. </w:t>
      </w:r>
    </w:p>
    <w:p>
      <w:pPr>
        <w:pStyle w:val="BodyTextIndent"/>
        <w:rPr/>
      </w:pPr>
      <w:r>
        <w:rPr/>
      </w:r>
    </w:p>
    <w:p>
      <w:pPr>
        <w:pStyle w:val="BodyTextIndent"/>
        <w:rPr/>
      </w:pPr>
      <w:r>
        <w:rPr/>
        <w:t xml:space="preserve">Unfortunately, the discussion of what services must be under the rates, terms and conditions of the RTO’s tariff is much less clear.  Noting that the same issue raised by Southern had been addressed on rehearing of Order No. 2000, FERC explained that it denied rehearing there because it would prevent “the RTO from performing those retail transmission services that are already included in the open access tariff </w:t>
      </w:r>
      <w:r>
        <w:rPr>
          <w:u w:val="single"/>
        </w:rPr>
        <w:t>i</w:t>
      </w:r>
      <w:r>
        <w:rPr/>
        <w:t>.</w:t>
      </w:r>
      <w:r>
        <w:rPr>
          <w:u w:val="single"/>
        </w:rPr>
        <w:t>e</w:t>
      </w:r>
      <w:r>
        <w:rPr/>
        <w:t>. unbundled retail transmission that may occur, voluntarily or as the result of state action …” (p4-5).   Unexplanable, the FERC further explained that on rehearing:</w:t>
      </w:r>
    </w:p>
    <w:p>
      <w:pPr>
        <w:pStyle w:val="BodyTextIndent"/>
        <w:rPr/>
      </w:pPr>
      <w:r>
        <w:rPr/>
      </w:r>
    </w:p>
    <w:p>
      <w:pPr>
        <w:pStyle w:val="BodyTextIndent"/>
        <w:ind w:hanging="0" w:start="720" w:end="0"/>
        <w:rPr/>
      </w:pPr>
      <w:r>
        <w:rPr/>
        <w:t>The Commission also clarified that Order No. 2000’s requirement that the RTO be the sole provider of transmission is not intended to require the unbundling of non-jurisdictional transmission service (i.e., the transmission component of bundled retail sales of energy.) p 5</w:t>
      </w:r>
    </w:p>
    <w:p>
      <w:pPr>
        <w:pStyle w:val="BodyTextIndent"/>
        <w:rPr/>
      </w:pPr>
      <w:r>
        <w:rPr/>
        <w:t xml:space="preserve"> </w:t>
      </w:r>
    </w:p>
    <w:p>
      <w:pPr>
        <w:pStyle w:val="BodyTextIndent"/>
        <w:rPr/>
      </w:pPr>
      <w:r>
        <w:rPr/>
        <w:t xml:space="preserve">This explanation of the requirements of Order No. 2000 is easily interpreted to say that the RTO must have physical control over the facilities within its region, but that service to unbundled retail customers need not be under the same terms and conditions (to say nothing of rates) of the RTO’s Open Access Transmission Tariff (OATT).  This ambiguous discussion is surprising and troubling given the contrary conclusion in the </w:t>
      </w:r>
      <w:r>
        <w:rPr>
          <w:u w:val="single"/>
        </w:rPr>
        <w:t>GridSouth</w:t>
      </w:r>
      <w:r>
        <w:rPr/>
        <w:t xml:space="preserve"> order issued the same day.</w:t>
      </w:r>
    </w:p>
    <w:p>
      <w:pPr>
        <w:pStyle w:val="BodyTextIndent"/>
        <w:rPr/>
      </w:pPr>
      <w:r>
        <w:rPr/>
      </w:r>
    </w:p>
    <w:p>
      <w:pPr>
        <w:pStyle w:val="BodyTextIndent"/>
        <w:rPr>
          <w:u w:val="single"/>
        </w:rPr>
      </w:pPr>
      <w:r>
        <w:rPr>
          <w:u w:val="single"/>
        </w:rPr>
        <w:t>Incentive Pricing</w:t>
      </w:r>
    </w:p>
    <w:p>
      <w:pPr>
        <w:pStyle w:val="BodyTextIndent"/>
        <w:rPr>
          <w:u w:val="single"/>
        </w:rPr>
      </w:pPr>
      <w:r>
        <w:rPr>
          <w:u w:val="single"/>
        </w:rPr>
      </w:r>
    </w:p>
    <w:p>
      <w:pPr>
        <w:pStyle w:val="BodyTextIndent"/>
        <w:rPr/>
      </w:pPr>
      <w:r>
        <w:rPr/>
        <w:t>Noting that it was not approving any aspect of the Southern Companies’ rate proposals, FERC, nevertheless, provided guidance on the numerous incentive proposals intended to encourage transmission owners to join an RTO and to improve performance of a Gridco acting as an RTO.  Specifically, if performance-based regulation (PBR) incentives “operate to motivate the grid operator to perform in response to the market and to improve grid operation”(p11), those PBR incentives are consistent with Order No. 2000 and are acceptable.  By contrast, other incentives, such as an increase in return on equity to passive owners, do not meet those criteria, since passive owners do not make decision regarding grid operations.  “Simply put, it is inappropriate to send a price signal to a passive owner that cannot respond to the price signal”(p12).</w:t>
      </w:r>
    </w:p>
    <w:p>
      <w:pPr>
        <w:pStyle w:val="BodyTextIndent"/>
        <w:rPr/>
      </w:pPr>
      <w:r>
        <w:rPr/>
      </w:r>
    </w:p>
    <w:p>
      <w:pPr>
        <w:pStyle w:val="BodyTextIndent"/>
        <w:rPr>
          <w:u w:val="single"/>
        </w:rPr>
      </w:pPr>
      <w:r>
        <w:rPr>
          <w:u w:val="single"/>
        </w:rPr>
        <w:t>Filing of Status Report</w:t>
      </w:r>
    </w:p>
    <w:p>
      <w:pPr>
        <w:pStyle w:val="BodyTextIndent"/>
        <w:rPr/>
      </w:pPr>
      <w:r>
        <w:rPr/>
      </w:r>
    </w:p>
    <w:p>
      <w:pPr>
        <w:pStyle w:val="BodyTextIndent"/>
        <w:rPr/>
      </w:pPr>
      <w:r>
        <w:rPr/>
        <w:t>FERC suggested that in lieu of making its own RTO filing, that Southern should consider joining neighboring utilities in a southeast RTO.  Southern was directed to file a status report with the FERC on or before May 14, 2001 informing the FERC of the status of forming a southeast RTO.</w:t>
      </w:r>
      <w:r>
        <w:br w:type="page"/>
      </w:r>
    </w:p>
    <w:p>
      <w:pPr>
        <w:pStyle w:val="BodyTextIndent"/>
        <w:rPr/>
      </w:pPr>
      <w:r>
        <w:rPr/>
      </w:r>
    </w:p>
    <w:p>
      <w:pPr>
        <w:pStyle w:val="BodyTextIndent"/>
        <w:rPr>
          <w:u w:val="single"/>
        </w:rPr>
      </w:pPr>
      <w:r>
        <w:rPr>
          <w:u w:val="single"/>
        </w:rPr>
        <w:t>Massey Statement</w:t>
      </w:r>
    </w:p>
    <w:p>
      <w:pPr>
        <w:pStyle w:val="BodyTextIndent"/>
        <w:rPr>
          <w:u w:val="single"/>
        </w:rPr>
      </w:pPr>
      <w:r>
        <w:rPr>
          <w:u w:val="single"/>
        </w:rPr>
      </w:r>
    </w:p>
    <w:p>
      <w:pPr>
        <w:pStyle w:val="BodyTextIndent"/>
        <w:rPr/>
      </w:pPr>
      <w:r>
        <w:rPr/>
        <w:t>Massey noted that both the Southern RTO order and the GridSouth RTO order requires more work and he stated his preference to aggressively prod the applicants to form a single RTO in the southeast.  Specifically, he would have required the various applicants to meet before an administrative law judge with the objective of establishing a single southeast RTO, given how the various proposals fail to meet the scope requirements of Order No. 2000.  Finally, Massey dissented on providing rate guidance, given the poor proposal filed by Southern.</w:t>
      </w:r>
    </w:p>
    <w:p>
      <w:pPr>
        <w:pStyle w:val="BodyTextIndent"/>
        <w:rPr/>
      </w:pPr>
      <w:r>
        <w:rPr/>
      </w:r>
    </w:p>
    <w:p>
      <w:pPr>
        <w:pStyle w:val="BodyTextIndent"/>
        <w:rPr/>
      </w:pPr>
      <w:r>
        <w:rPr/>
        <w:t>Southern.doc</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2001-03-21T07:43:00Z</dcterms:created>
  <dc:creator>jhartso</dc:creator>
  <dc:description/>
  <dc:language>en-CA</dc:language>
  <cp:lastModifiedBy>jhartso</cp:lastModifiedBy>
  <cp:lastPrinted>2001-03-21T10:10:00Z</cp:lastPrinted>
  <dcterms:modified xsi:type="dcterms:W3CDTF">2001-03-21T13:41:00Z</dcterms:modified>
  <cp:revision>11</cp:revision>
  <dc:subject/>
  <dc:title>On March 14, 2000, the Federal Energy Regulatory Commission (FERC) denied the Southern Company Services (Southern) petition fo</dc:title>
</cp:coreProperties>
</file>