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TEXAS DEREGULATION</w:t>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t>Marianne Carroll</w:t>
      </w:r>
    </w:p>
    <w:p>
      <w:pPr>
        <w:pStyle w:val="Heading"/>
        <w:rPr>
          <w:sz w:val="24"/>
        </w:rPr>
      </w:pPr>
      <w:r>
        <w:rPr>
          <w:sz w:val="24"/>
        </w:rPr>
        <w:t>CARROLL &amp; GROSS, L.L.P.</w:t>
      </w:r>
    </w:p>
    <w:p>
      <w:pPr>
        <w:pStyle w:val="Heading"/>
        <w:rPr>
          <w:sz w:val="24"/>
        </w:rPr>
      </w:pPr>
      <w:r>
        <w:rPr>
          <w:sz w:val="24"/>
        </w:rPr>
        <w:t>701 Brazos, Suite 310</w:t>
      </w:r>
    </w:p>
    <w:p>
      <w:pPr>
        <w:pStyle w:val="Heading"/>
        <w:rPr>
          <w:sz w:val="24"/>
        </w:rPr>
      </w:pPr>
      <w:r>
        <w:rPr>
          <w:sz w:val="24"/>
        </w:rPr>
        <w:t>Austin, Texas 78701</w:t>
      </w:r>
    </w:p>
    <w:p>
      <w:pPr>
        <w:pStyle w:val="Heading"/>
        <w:rPr>
          <w:sz w:val="24"/>
        </w:rPr>
      </w:pPr>
      <w:r>
        <w:rPr>
          <w:sz w:val="24"/>
        </w:rPr>
        <w:t>Fax: 512-320-5920</w:t>
      </w:r>
    </w:p>
    <w:p>
      <w:pPr>
        <w:pStyle w:val="Heading"/>
        <w:rPr>
          <w:sz w:val="24"/>
        </w:rPr>
      </w:pPr>
      <w:r>
        <w:rPr>
          <w:sz w:val="24"/>
        </w:rPr>
        <w:t>Telephone: 512-320-5953</w:t>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4"/>
        </w:rPr>
      </w:pPr>
      <w:r>
        <w:rPr>
          <w:sz w:val="24"/>
        </w:rPr>
        <w:t>South Texas College of Law</w:t>
      </w:r>
    </w:p>
    <w:p>
      <w:pPr>
        <w:pStyle w:val="Heading"/>
        <w:rPr>
          <w:sz w:val="24"/>
        </w:rPr>
      </w:pPr>
      <w:r>
        <w:rPr>
          <w:sz w:val="24"/>
        </w:rPr>
        <w:t>The Power Institute</w:t>
      </w:r>
    </w:p>
    <w:p>
      <w:pPr>
        <w:pStyle w:val="Heading"/>
        <w:rPr>
          <w:sz w:val="24"/>
        </w:rPr>
      </w:pPr>
      <w:r>
        <w:rPr>
          <w:sz w:val="24"/>
        </w:rPr>
        <w:t>June 7-8, 2001</w:t>
      </w:r>
    </w:p>
    <w:p>
      <w:pPr>
        <w:pStyle w:val="Heading"/>
        <w:rPr>
          <w:sz w:val="24"/>
        </w:rPr>
      </w:pPr>
      <w:r>
        <w:rPr>
          <w:sz w:val="24"/>
        </w:rPr>
      </w:r>
    </w:p>
    <w:p>
      <w:pPr>
        <w:pStyle w:val="Heading"/>
        <w:rPr/>
      </w:pPr>
      <w:r>
        <w:rPr/>
        <w:t>J</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Pr>
    </w:p>
    <w:p>
      <w:pPr>
        <w:pStyle w:val="Subtitle"/>
        <w:numPr>
          <w:ilvl w:val="0"/>
          <w:numId w:val="2"/>
        </w:numPr>
        <w:ind w:hanging="0" w:start="0"/>
        <w:rPr/>
      </w:pPr>
      <w:r>
        <w:rPr/>
        <w:t>DIFFERENCES BETWEEN CALIFORNIA AND TEXAS</w:t>
      </w:r>
    </w:p>
    <w:p>
      <w:pPr>
        <w:pStyle w:val="Normal"/>
        <w:jc w:val="both"/>
        <w:rPr>
          <w:b/>
          <w:sz w:val="28"/>
        </w:rPr>
      </w:pPr>
      <w:r>
        <w:rPr>
          <w:b/>
          <w:sz w:val="28"/>
        </w:rPr>
      </w:r>
    </w:p>
    <w:p>
      <w:pPr>
        <w:pStyle w:val="Normal"/>
        <w:numPr>
          <w:ilvl w:val="0"/>
          <w:numId w:val="3"/>
        </w:numPr>
        <w:jc w:val="both"/>
        <w:rPr>
          <w:b/>
          <w:sz w:val="24"/>
        </w:rPr>
      </w:pPr>
      <w:r>
        <w:rPr>
          <w:b/>
          <w:sz w:val="24"/>
        </w:rPr>
        <w:t xml:space="preserve"> </w:t>
      </w:r>
      <w:r>
        <w:rPr>
          <w:b/>
          <w:sz w:val="24"/>
        </w:rPr>
        <w:t>Stepped Transition to Retail Competition: Wholesale market first, retail second.</w:t>
      </w:r>
    </w:p>
    <w:p>
      <w:pPr>
        <w:pStyle w:val="Normal"/>
        <w:jc w:val="both"/>
        <w:rPr>
          <w:b/>
          <w:sz w:val="22"/>
        </w:rPr>
      </w:pPr>
      <w:r>
        <w:rPr>
          <w:b/>
          <w:sz w:val="22"/>
        </w:rPr>
      </w:r>
    </w:p>
    <w:p>
      <w:pPr>
        <w:pStyle w:val="BodyTextIndent2"/>
        <w:ind w:hanging="0" w:start="0" w:end="0"/>
        <w:rPr/>
      </w:pPr>
      <w:r>
        <w:rPr>
          <w:b/>
          <w:sz w:val="24"/>
        </w:rPr>
        <w:t>1.</w:t>
        <w:tab/>
        <w:t>California</w:t>
      </w:r>
      <w:r>
        <w:rPr>
          <w:sz w:val="22"/>
        </w:rPr>
        <w:tab/>
      </w:r>
    </w:p>
    <w:p>
      <w:pPr>
        <w:pStyle w:val="BodyTextIndent2"/>
        <w:ind w:hanging="0" w:start="0" w:end="0"/>
        <w:rPr>
          <w:sz w:val="22"/>
        </w:rPr>
      </w:pPr>
      <w:r>
        <w:rPr>
          <w:sz w:val="22"/>
        </w:rPr>
      </w:r>
    </w:p>
    <w:p>
      <w:pPr>
        <w:pStyle w:val="BodyTextIndent2"/>
        <w:ind w:hanging="0" w:start="0" w:end="0"/>
        <w:rPr>
          <w:sz w:val="22"/>
        </w:rPr>
      </w:pPr>
      <w:r>
        <w:rPr>
          <w:sz w:val="22"/>
        </w:rPr>
        <w:t>Even before the April, 1994 Blue Book order instituting an investigation into opening retail markets, utilities in California began circling their wagons to protect their markets, eliminate competition, and reduce potential damage to shareholders.  There was no opportunity to grow and stabilize the wholesale market first.</w:t>
      </w:r>
    </w:p>
    <w:p>
      <w:pPr>
        <w:pStyle w:val="Normal"/>
        <w:jc w:val="both"/>
        <w:rPr>
          <w:sz w:val="22"/>
        </w:rPr>
      </w:pPr>
      <w:r>
        <w:rPr>
          <w:sz w:val="22"/>
        </w:rPr>
      </w:r>
    </w:p>
    <w:p>
      <w:pPr>
        <w:pStyle w:val="Normal"/>
        <w:jc w:val="both"/>
        <w:rPr/>
      </w:pPr>
      <w:r>
        <w:rPr>
          <w:b/>
          <w:sz w:val="24"/>
        </w:rPr>
        <w:t>2.</w:t>
        <w:tab/>
        <w:t>Texas</w:t>
      </w:r>
      <w:r>
        <w:rPr>
          <w:sz w:val="22"/>
        </w:rPr>
        <w:tab/>
      </w:r>
    </w:p>
    <w:p>
      <w:pPr>
        <w:pStyle w:val="Normal"/>
        <w:jc w:val="both"/>
        <w:rPr>
          <w:sz w:val="22"/>
        </w:rPr>
      </w:pPr>
      <w:r>
        <w:rPr>
          <w:sz w:val="22"/>
        </w:rPr>
      </w:r>
    </w:p>
    <w:p>
      <w:pPr>
        <w:pStyle w:val="Normal"/>
        <w:jc w:val="both"/>
        <w:rPr>
          <w:sz w:val="22"/>
        </w:rPr>
      </w:pPr>
      <w:r>
        <w:rPr>
          <w:sz w:val="22"/>
        </w:rPr>
        <w:t>The Texas Legislature mandated wholesale market deregulation in 1995.  At that time, and until late in the 1997 legislative session, the utilities were adamantly opposed to retail competition.  Retail competition was not approved by the Legislature until 1999, and the industry has had 2 ½ years to prepare for its implementation on Jan. 1, 2002.</w:t>
      </w:r>
    </w:p>
    <w:p>
      <w:pPr>
        <w:pStyle w:val="Normal"/>
        <w:jc w:val="both"/>
        <w:rPr>
          <w:sz w:val="22"/>
        </w:rPr>
      </w:pPr>
      <w:r>
        <w:rPr>
          <w:sz w:val="22"/>
        </w:rPr>
      </w:r>
    </w:p>
    <w:p>
      <w:pPr>
        <w:pStyle w:val="Normal"/>
        <w:jc w:val="both"/>
        <w:rPr>
          <w:sz w:val="22"/>
        </w:rPr>
      </w:pPr>
      <w:r>
        <w:rPr>
          <w:sz w:val="22"/>
        </w:rPr>
        <w:t>Wholesale deregulation permitted qualifying facilities (QFs) and exempt wholesale generators (EWGs) to build generating plants in Texas free from rate regulation  and without first having to obtain a certificate of need.  The Public Utility Commission (PUC or Commission) adopted open access transmission rules for the Electric Reliability Council of Texas (ERCOT).  The rules required utilities to transmit power from generators to wholesale loads, and implemented a single, postage stamp rate across ERCOT paid by the loads.  This enabled generators to build plants close to necessary supplies of water and natural gas, while ensuring that they could deliver the power they produced to their wholesale customers.</w:t>
      </w:r>
    </w:p>
    <w:p>
      <w:pPr>
        <w:pStyle w:val="Normal"/>
        <w:ind w:start="1440" w:end="0"/>
        <w:jc w:val="both"/>
        <w:rPr>
          <w:sz w:val="22"/>
        </w:rPr>
      </w:pPr>
      <w:r>
        <w:rPr>
          <w:sz w:val="22"/>
        </w:rPr>
      </w:r>
    </w:p>
    <w:p>
      <w:pPr>
        <w:pStyle w:val="BodyText2"/>
        <w:rPr/>
      </w:pPr>
      <w:r>
        <w:rPr/>
        <w:t>The Commission’s transmission rules also established an Independent System Operator (ISO) in ERCOT to facilitate and coordinate transmission transactions.  To preserve its independence and impartiality, the ISO was prohibited from having any financial interest in wholesale transactions.  The existing 10 utility control areas were retained and the utility control area operators continued to dispatch the system, but the ISO could order redispatch to facilitate transactions and maintain reliability.  Importantly, the ISO was charged with the responsibility to maintain an electronic transmission information network, as well as to coordinate system planning for the entire grid.</w:t>
      </w:r>
    </w:p>
    <w:p>
      <w:pPr>
        <w:pStyle w:val="Normal"/>
        <w:ind w:firstLine="720" w:start="1440" w:end="0"/>
        <w:jc w:val="both"/>
        <w:rPr>
          <w:sz w:val="28"/>
        </w:rPr>
      </w:pPr>
      <w:r>
        <w:rPr>
          <w:sz w:val="28"/>
        </w:rPr>
      </w:r>
    </w:p>
    <w:p>
      <w:pPr>
        <w:pStyle w:val="Heading1"/>
        <w:ind w:hanging="0" w:start="0"/>
        <w:rPr>
          <w:sz w:val="24"/>
        </w:rPr>
      </w:pPr>
      <w:r>
        <w:rPr>
          <w:sz w:val="24"/>
        </w:rPr>
        <w:t>B.</w:t>
        <w:tab/>
        <w:t>Generation – Supply and Demand</w:t>
      </w:r>
    </w:p>
    <w:p>
      <w:pPr>
        <w:pStyle w:val="Normal"/>
        <w:jc w:val="both"/>
        <w:rPr>
          <w:sz w:val="28"/>
        </w:rPr>
      </w:pPr>
      <w:r>
        <w:rPr>
          <w:sz w:val="28"/>
        </w:rPr>
      </w:r>
    </w:p>
    <w:p>
      <w:pPr>
        <w:pStyle w:val="BodyText2"/>
        <w:rPr/>
      </w:pPr>
      <w:r>
        <w:rPr>
          <w:b/>
          <w:sz w:val="24"/>
        </w:rPr>
        <w:t>1.</w:t>
        <w:tab/>
        <w:t>California</w:t>
      </w:r>
      <w:r>
        <w:rPr/>
        <w:tab/>
      </w:r>
    </w:p>
    <w:p>
      <w:pPr>
        <w:pStyle w:val="BodyText2"/>
        <w:rPr/>
      </w:pPr>
      <w:r>
        <w:rPr/>
      </w:r>
    </w:p>
    <w:p>
      <w:pPr>
        <w:pStyle w:val="BodyText2"/>
        <w:rPr/>
      </w:pPr>
      <w:r>
        <w:rPr/>
        <w:t>In 1990, the California Energy Commission (CEC) projected 10,000 MW of new load in the state by 2000. Demand for electricity increased 25% since 1998.  However, less than 1,000 MW of new resources were built.</w:t>
      </w:r>
    </w:p>
    <w:p>
      <w:pPr>
        <w:pStyle w:val="BodyText2"/>
        <w:rPr/>
      </w:pPr>
      <w:r>
        <w:rPr/>
      </w:r>
    </w:p>
    <w:p>
      <w:pPr>
        <w:pStyle w:val="BodyText2"/>
        <w:ind w:hanging="720" w:start="720" w:end="0"/>
        <w:rPr>
          <w:b/>
        </w:rPr>
      </w:pPr>
      <w:r>
        <w:rPr>
          <w:b/>
        </w:rPr>
        <w:t>a.</w:t>
        <w:tab/>
        <w:t>Failure to Build New Generating Capacity</w:t>
      </w:r>
    </w:p>
    <w:p>
      <w:pPr>
        <w:pStyle w:val="BodyText2"/>
        <w:rPr>
          <w:b/>
        </w:rPr>
      </w:pPr>
      <w:r>
        <w:rPr>
          <w:b/>
        </w:rPr>
      </w:r>
    </w:p>
    <w:p>
      <w:pPr>
        <w:pStyle w:val="BodyText2"/>
        <w:rPr/>
      </w:pPr>
      <w:r>
        <w:rPr/>
        <w:t>Some of the reasons for the failure to build capacity to meet this demand were:</w:t>
      </w:r>
    </w:p>
    <w:p>
      <w:pPr>
        <w:pStyle w:val="Normal"/>
        <w:ind w:hanging="720" w:start="1440" w:end="0"/>
        <w:jc w:val="both"/>
        <w:rPr>
          <w:sz w:val="22"/>
        </w:rPr>
      </w:pPr>
      <w:r>
        <w:rPr>
          <w:sz w:val="22"/>
        </w:rPr>
      </w:r>
    </w:p>
    <w:p>
      <w:pPr>
        <w:pStyle w:val="Normal"/>
        <w:jc w:val="both"/>
        <w:rPr>
          <w:sz w:val="22"/>
        </w:rPr>
      </w:pPr>
      <w:r>
        <w:rPr>
          <w:sz w:val="22"/>
        </w:rPr>
        <w:t>(i)</w:t>
        <w:tab/>
        <w:t xml:space="preserve">It takes 5-7 years to build a plant in California.  California has some of the most stringent environmental restrictions in the country.  Moreover, the CEC has siting authority over new generating plants.  The agency has a history of projecting low demand and high energy efficiency gains.  Throughout the ‘90’s, the CEC strongly supported a reliance on imported electricity from other states.  </w:t>
      </w:r>
    </w:p>
    <w:p>
      <w:pPr>
        <w:pStyle w:val="Normal"/>
        <w:jc w:val="both"/>
        <w:rPr>
          <w:sz w:val="22"/>
        </w:rPr>
      </w:pPr>
      <w:r>
        <w:rPr>
          <w:sz w:val="22"/>
        </w:rPr>
      </w:r>
    </w:p>
    <w:p>
      <w:pPr>
        <w:pStyle w:val="Normal"/>
        <w:jc w:val="both"/>
        <w:rPr>
          <w:sz w:val="22"/>
        </w:rPr>
      </w:pPr>
      <w:r>
        <w:rPr>
          <w:sz w:val="22"/>
        </w:rPr>
        <w:t>(ii)</w:t>
        <w:tab/>
        <w:t>Local opposition to the construction of either generating plants or transmission lines made reliance on out-of-state power supplies necessary.</w:t>
      </w:r>
    </w:p>
    <w:p>
      <w:pPr>
        <w:pStyle w:val="Normal"/>
        <w:jc w:val="both"/>
        <w:rPr>
          <w:sz w:val="22"/>
        </w:rPr>
      </w:pPr>
      <w:r>
        <w:rPr>
          <w:sz w:val="22"/>
        </w:rPr>
      </w:r>
    </w:p>
    <w:p>
      <w:pPr>
        <w:pStyle w:val="Normal"/>
        <w:jc w:val="both"/>
        <w:rPr>
          <w:sz w:val="22"/>
        </w:rPr>
      </w:pPr>
      <w:r>
        <w:rPr>
          <w:sz w:val="22"/>
        </w:rPr>
        <w:t>(iii)</w:t>
        <w:tab/>
        <w:t xml:space="preserve"> The utilities were reluctant to build new capacity after the difficulties they encountered in constructing large nuclear plants and obtaining rate recognition for them.  In addition, they resisted purchasing power from QFs and EWGs, since their payments to these competitors did nothing to increase the rate bases on which they earn a return.  The utilities’ filed unrealistic capacity/demand/reserve margin projections to justify their failure to acquire new capacity. </w:t>
      </w:r>
    </w:p>
    <w:p>
      <w:pPr>
        <w:pStyle w:val="Normal"/>
        <w:ind w:hanging="720" w:start="720" w:end="0"/>
        <w:jc w:val="both"/>
        <w:rPr>
          <w:b/>
          <w:sz w:val="22"/>
        </w:rPr>
      </w:pPr>
      <w:r>
        <w:rPr>
          <w:b/>
          <w:sz w:val="22"/>
        </w:rPr>
        <w:t>b.</w:t>
        <w:tab/>
        <w:t>Overly Optimistic Projections of Capacity</w:t>
      </w:r>
    </w:p>
    <w:p>
      <w:pPr>
        <w:pStyle w:val="Normal"/>
        <w:jc w:val="both"/>
        <w:rPr>
          <w:b/>
          <w:sz w:val="22"/>
        </w:rPr>
      </w:pPr>
      <w:r>
        <w:rPr>
          <w:b/>
          <w:sz w:val="22"/>
        </w:rPr>
      </w:r>
    </w:p>
    <w:p>
      <w:pPr>
        <w:pStyle w:val="Normal"/>
        <w:jc w:val="both"/>
        <w:rPr>
          <w:sz w:val="22"/>
        </w:rPr>
      </w:pPr>
      <w:r>
        <w:rPr>
          <w:sz w:val="22"/>
        </w:rPr>
        <w:t>In 1995, the CEC estimated that reserve margins in 2001 would be in the 21-23% range for PG&amp;E and Southern California Edison.  This projection was dependent on 1400 MW of renewable and QF capacity being acquired through an auction that was bid but never purchased.  The utilities petitioned FERC to kill the auction as discriminatory against other generators.  California spent $90 million of ratepayer money paying off liabilities associated with the auction, and had no kwh to show for it.</w:t>
      </w:r>
    </w:p>
    <w:p>
      <w:pPr>
        <w:pStyle w:val="Normal"/>
        <w:ind w:start="2160" w:end="0"/>
        <w:jc w:val="both"/>
        <w:rPr>
          <w:sz w:val="22"/>
        </w:rPr>
      </w:pPr>
      <w:r>
        <w:rPr>
          <w:sz w:val="22"/>
        </w:rPr>
      </w:r>
    </w:p>
    <w:p>
      <w:pPr>
        <w:pStyle w:val="Normal"/>
        <w:jc w:val="both"/>
        <w:rPr>
          <w:sz w:val="22"/>
        </w:rPr>
      </w:pPr>
      <w:r>
        <w:rPr>
          <w:sz w:val="22"/>
        </w:rPr>
        <w:t>In addition, the CEC projections were based on the availability of 2300 MW of uncontracted-for spot capacity, 2000 MW of energy efficiency gains from programs never acquired by utilities and 2500 MW of interruptible power signed up by Edison under cogen-kill rates.</w:t>
      </w:r>
    </w:p>
    <w:p>
      <w:pPr>
        <w:pStyle w:val="Normal"/>
        <w:jc w:val="both"/>
        <w:rPr>
          <w:sz w:val="22"/>
        </w:rPr>
      </w:pPr>
      <w:r>
        <w:rPr>
          <w:sz w:val="22"/>
        </w:rPr>
      </w:r>
    </w:p>
    <w:p>
      <w:pPr>
        <w:pStyle w:val="Normal"/>
        <w:jc w:val="both"/>
        <w:rPr/>
      </w:pPr>
      <w:r>
        <w:rPr>
          <w:b/>
          <w:sz w:val="24"/>
        </w:rPr>
        <w:t>2.</w:t>
        <w:tab/>
        <w:t>Texas</w:t>
      </w:r>
      <w:r>
        <w:rPr>
          <w:sz w:val="22"/>
        </w:rPr>
        <w:tab/>
      </w:r>
    </w:p>
    <w:p>
      <w:pPr>
        <w:pStyle w:val="Normal"/>
        <w:jc w:val="both"/>
        <w:rPr>
          <w:sz w:val="22"/>
        </w:rPr>
      </w:pPr>
      <w:r>
        <w:rPr>
          <w:sz w:val="22"/>
        </w:rPr>
      </w:r>
    </w:p>
    <w:p>
      <w:pPr>
        <w:pStyle w:val="Normal"/>
        <w:jc w:val="both"/>
        <w:rPr>
          <w:sz w:val="22"/>
        </w:rPr>
      </w:pPr>
      <w:r>
        <w:rPr>
          <w:sz w:val="22"/>
        </w:rPr>
        <w:t xml:space="preserve">Since 1990, utilities in Texas, like in California, resisted building or buying capacity because they were absorbing the effects of including large, expensive nuclear plants in their rates and portfolios.  The result was a very tight supply situation in Texas in 1999 and 2000.  Unlike in California, however, the Texas PUC began addressing the supply situation beginning in 1996 by using the new tools given it by the Legislature in the 1995 amendments to the Public Utility Regulatory Act (PURA) mandating wholesale competition.  </w:t>
      </w:r>
    </w:p>
    <w:p>
      <w:pPr>
        <w:pStyle w:val="Normal"/>
        <w:jc w:val="both"/>
        <w:rPr>
          <w:sz w:val="22"/>
        </w:rPr>
      </w:pPr>
      <w:r>
        <w:rPr>
          <w:sz w:val="22"/>
        </w:rPr>
      </w:r>
    </w:p>
    <w:p>
      <w:pPr>
        <w:pStyle w:val="Normal"/>
        <w:ind w:hanging="720" w:start="720" w:end="0"/>
        <w:jc w:val="both"/>
        <w:rPr>
          <w:b/>
          <w:sz w:val="22"/>
        </w:rPr>
      </w:pPr>
      <w:r>
        <w:rPr>
          <w:b/>
          <w:sz w:val="22"/>
        </w:rPr>
        <w:t>a.</w:t>
        <w:tab/>
        <w:t>Among the actions taken by the PUC were:</w:t>
      </w:r>
    </w:p>
    <w:p>
      <w:pPr>
        <w:pStyle w:val="Normal"/>
        <w:ind w:hanging="720" w:start="1440" w:end="0"/>
        <w:jc w:val="both"/>
        <w:rPr>
          <w:b/>
          <w:sz w:val="22"/>
        </w:rPr>
      </w:pPr>
      <w:r>
        <w:rPr>
          <w:b/>
          <w:sz w:val="22"/>
        </w:rPr>
      </w:r>
    </w:p>
    <w:p>
      <w:pPr>
        <w:pStyle w:val="Normal"/>
        <w:jc w:val="both"/>
        <w:rPr>
          <w:sz w:val="22"/>
        </w:rPr>
      </w:pPr>
      <w:r>
        <w:rPr>
          <w:sz w:val="22"/>
        </w:rPr>
        <w:t>Implementation of transmission rules mandating open access and adopting an ERCOT-wide pricing methodology;</w:t>
      </w:r>
    </w:p>
    <w:p>
      <w:pPr>
        <w:pStyle w:val="Normal"/>
        <w:ind w:start="720" w:end="0"/>
        <w:jc w:val="both"/>
        <w:rPr>
          <w:sz w:val="22"/>
        </w:rPr>
      </w:pPr>
      <w:r>
        <w:rPr>
          <w:sz w:val="22"/>
        </w:rPr>
      </w:r>
    </w:p>
    <w:p>
      <w:pPr>
        <w:pStyle w:val="Normal"/>
        <w:jc w:val="both"/>
        <w:rPr>
          <w:sz w:val="22"/>
        </w:rPr>
      </w:pPr>
      <w:r>
        <w:rPr>
          <w:sz w:val="22"/>
        </w:rPr>
        <w:t>Directing the ISO to identify and facilitate the construction of new transmission to relieve constraints;</w:t>
      </w:r>
    </w:p>
    <w:p>
      <w:pPr>
        <w:pStyle w:val="Normal"/>
        <w:ind w:hanging="720" w:start="1440" w:end="0"/>
        <w:jc w:val="both"/>
        <w:rPr>
          <w:sz w:val="22"/>
        </w:rPr>
      </w:pPr>
      <w:r>
        <w:rPr>
          <w:sz w:val="22"/>
        </w:rPr>
      </w:r>
    </w:p>
    <w:p>
      <w:pPr>
        <w:pStyle w:val="Normal"/>
        <w:jc w:val="both"/>
        <w:rPr>
          <w:sz w:val="22"/>
        </w:rPr>
      </w:pPr>
      <w:r>
        <w:rPr>
          <w:sz w:val="22"/>
        </w:rPr>
        <w:t>Adoption of rules mandating that utilities interconnect new generators, and clarifying the respective payment responsibility for the interconnection facilities as between the transmission provider and the generator;</w:t>
      </w:r>
    </w:p>
    <w:p>
      <w:pPr>
        <w:pStyle w:val="Normal"/>
        <w:ind w:start="720" w:end="0"/>
        <w:jc w:val="both"/>
        <w:rPr>
          <w:sz w:val="22"/>
        </w:rPr>
      </w:pPr>
      <w:r>
        <w:rPr>
          <w:sz w:val="22"/>
        </w:rPr>
      </w:r>
    </w:p>
    <w:p>
      <w:pPr>
        <w:pStyle w:val="Normal"/>
        <w:jc w:val="both"/>
        <w:rPr>
          <w:sz w:val="22"/>
        </w:rPr>
      </w:pPr>
      <w:r>
        <w:rPr>
          <w:sz w:val="22"/>
        </w:rPr>
        <w:t>Requiring the development and deployment of a standard generation interconnection agreement (SGIA).</w:t>
      </w:r>
    </w:p>
    <w:p>
      <w:pPr>
        <w:pStyle w:val="Normal"/>
        <w:ind w:hanging="720" w:start="1440" w:end="0"/>
        <w:jc w:val="both"/>
        <w:rPr>
          <w:sz w:val="22"/>
        </w:rPr>
      </w:pPr>
      <w:r>
        <w:rPr>
          <w:sz w:val="22"/>
        </w:rPr>
      </w:r>
    </w:p>
    <w:p>
      <w:pPr>
        <w:pStyle w:val="Normal"/>
        <w:jc w:val="both"/>
        <w:rPr>
          <w:b/>
          <w:sz w:val="22"/>
        </w:rPr>
      </w:pPr>
      <w:r>
        <w:rPr>
          <w:b/>
          <w:sz w:val="22"/>
        </w:rPr>
        <w:t>b.</w:t>
        <w:tab/>
        <w:t>Results of the Commission’s actions</w:t>
      </w:r>
    </w:p>
    <w:p>
      <w:pPr>
        <w:pStyle w:val="Normal"/>
        <w:jc w:val="both"/>
        <w:rPr>
          <w:b/>
          <w:sz w:val="22"/>
        </w:rPr>
      </w:pPr>
      <w:r>
        <w:rPr>
          <w:b/>
          <w:sz w:val="22"/>
        </w:rPr>
      </w:r>
    </w:p>
    <w:p>
      <w:pPr>
        <w:pStyle w:val="Normal"/>
        <w:jc w:val="both"/>
        <w:rPr>
          <w:sz w:val="22"/>
        </w:rPr>
      </w:pPr>
      <w:r>
        <w:rPr>
          <w:sz w:val="22"/>
        </w:rPr>
        <w:t>The result of the Commission’s actions, amidst an average load growth in the state of 5% since 1995 (32.16% in last 6 years), and a 2.7% annual growth in peak demand in Houston, Dallas, San Antonio, Austin and the Valley, has been:</w:t>
      </w:r>
    </w:p>
    <w:p>
      <w:pPr>
        <w:pStyle w:val="Normal"/>
        <w:jc w:val="both"/>
        <w:rPr>
          <w:sz w:val="22"/>
        </w:rPr>
      </w:pPr>
      <w:r>
        <w:rPr>
          <w:sz w:val="22"/>
        </w:rPr>
      </w:r>
    </w:p>
    <w:p>
      <w:pPr>
        <w:pStyle w:val="BodyText2"/>
        <w:rPr/>
      </w:pPr>
      <w:r>
        <w:rPr/>
        <w:t>110 requests for interconnection of new generation since 1997;</w:t>
      </w:r>
    </w:p>
    <w:p>
      <w:pPr>
        <w:pStyle w:val="Normal"/>
        <w:ind w:firstLine="720" w:end="0"/>
        <w:jc w:val="both"/>
        <w:rPr>
          <w:sz w:val="22"/>
        </w:rPr>
      </w:pPr>
      <w:r>
        <w:rPr>
          <w:sz w:val="22"/>
        </w:rPr>
      </w:r>
    </w:p>
    <w:p>
      <w:pPr>
        <w:pStyle w:val="Normal"/>
        <w:jc w:val="both"/>
        <w:rPr>
          <w:sz w:val="22"/>
        </w:rPr>
      </w:pPr>
      <w:r>
        <w:rPr>
          <w:sz w:val="22"/>
        </w:rPr>
        <w:t>25-30% reserve margins projected for 2001-2003;</w:t>
      </w:r>
    </w:p>
    <w:p>
      <w:pPr>
        <w:pStyle w:val="Normal"/>
        <w:jc w:val="both"/>
        <w:rPr>
          <w:sz w:val="22"/>
        </w:rPr>
      </w:pPr>
      <w:r>
        <w:rPr>
          <w:sz w:val="22"/>
        </w:rPr>
      </w:r>
    </w:p>
    <w:p>
      <w:pPr>
        <w:pStyle w:val="Normal"/>
        <w:jc w:val="both"/>
        <w:rPr>
          <w:sz w:val="22"/>
        </w:rPr>
      </w:pPr>
      <w:r>
        <w:rPr>
          <w:sz w:val="22"/>
        </w:rPr>
        <w:t>Numerous transmission constraint relief projects completed, under construction, or proposed in ERCOT.</w:t>
      </w:r>
    </w:p>
    <w:p>
      <w:pPr>
        <w:pStyle w:val="Normal"/>
        <w:jc w:val="both"/>
        <w:rPr>
          <w:sz w:val="28"/>
        </w:rPr>
      </w:pPr>
      <w:r>
        <w:rPr>
          <w:sz w:val="28"/>
        </w:rPr>
      </w:r>
    </w:p>
    <w:p>
      <w:pPr>
        <w:pStyle w:val="Heading1"/>
        <w:ind w:hanging="0" w:start="0"/>
        <w:rPr>
          <w:sz w:val="24"/>
        </w:rPr>
      </w:pPr>
      <w:r>
        <w:rPr>
          <w:sz w:val="24"/>
        </w:rPr>
        <w:t>C.</w:t>
        <w:tab/>
        <w:t>Market Structure</w:t>
      </w:r>
    </w:p>
    <w:p>
      <w:pPr>
        <w:pStyle w:val="Normal"/>
        <w:jc w:val="both"/>
        <w:rPr>
          <w:sz w:val="28"/>
        </w:rPr>
      </w:pPr>
      <w:r>
        <w:rPr>
          <w:sz w:val="28"/>
        </w:rPr>
      </w:r>
    </w:p>
    <w:p>
      <w:pPr>
        <w:pStyle w:val="Normal"/>
        <w:jc w:val="both"/>
        <w:rPr/>
      </w:pPr>
      <w:r>
        <w:rPr>
          <w:b/>
          <w:sz w:val="24"/>
        </w:rPr>
        <w:t>1.</w:t>
        <w:tab/>
        <w:t>California</w:t>
      </w:r>
      <w:r>
        <w:rPr>
          <w:sz w:val="22"/>
        </w:rPr>
        <w:t xml:space="preserve"> </w:t>
      </w:r>
    </w:p>
    <w:p>
      <w:pPr>
        <w:pStyle w:val="Normal"/>
        <w:jc w:val="both"/>
        <w:rPr>
          <w:sz w:val="22"/>
        </w:rPr>
      </w:pPr>
      <w:r>
        <w:rPr>
          <w:sz w:val="22"/>
        </w:rPr>
      </w:r>
    </w:p>
    <w:p>
      <w:pPr>
        <w:pStyle w:val="Normal"/>
        <w:jc w:val="both"/>
        <w:rPr>
          <w:sz w:val="22"/>
        </w:rPr>
      </w:pPr>
      <w:r>
        <w:rPr>
          <w:sz w:val="22"/>
        </w:rPr>
        <w:t>The California restructuring plan forced utilities to divest the majority of their generating assets, and to purchase wholesale power to serve their retail loads in the spot market.  The utilities continued to be obligated to serve retail customers at frozen regulated rates, so customers were shielded from wholesale rate increases when supplies became tight.  Because retail customers had no incentive to conserve, there was consequently no demand response to high wholesale prices.</w:t>
      </w:r>
    </w:p>
    <w:p>
      <w:pPr>
        <w:pStyle w:val="Normal"/>
        <w:jc w:val="both"/>
        <w:rPr>
          <w:sz w:val="22"/>
        </w:rPr>
      </w:pPr>
      <w:r>
        <w:rPr>
          <w:sz w:val="22"/>
        </w:rPr>
      </w:r>
    </w:p>
    <w:p>
      <w:pPr>
        <w:pStyle w:val="Normal"/>
        <w:jc w:val="both"/>
        <w:rPr>
          <w:sz w:val="22"/>
        </w:rPr>
      </w:pPr>
      <w:r>
        <w:rPr>
          <w:sz w:val="22"/>
        </w:rPr>
        <w:t xml:space="preserve">In addition, the manner in which stranded costs were collected, and the rate cuts financed by bonds paid for by ratepayers, eliminated headroom for competitors.  </w:t>
      </w:r>
    </w:p>
    <w:p>
      <w:pPr>
        <w:pStyle w:val="Normal"/>
        <w:jc w:val="both"/>
        <w:rPr>
          <w:sz w:val="22"/>
        </w:rPr>
      </w:pPr>
      <w:r>
        <w:rPr>
          <w:sz w:val="22"/>
        </w:rPr>
      </w:r>
    </w:p>
    <w:p>
      <w:pPr>
        <w:pStyle w:val="Normal"/>
        <w:keepNext w:val="true"/>
        <w:jc w:val="both"/>
        <w:rPr/>
      </w:pPr>
      <w:r>
        <w:rPr>
          <w:b/>
          <w:sz w:val="24"/>
        </w:rPr>
        <w:t>2.</w:t>
        <w:tab/>
        <w:t>Texas</w:t>
      </w:r>
      <w:r>
        <w:rPr>
          <w:sz w:val="22"/>
        </w:rPr>
        <w:tab/>
      </w:r>
    </w:p>
    <w:p>
      <w:pPr>
        <w:pStyle w:val="Normal"/>
        <w:keepNext w:val="true"/>
        <w:jc w:val="both"/>
        <w:rPr>
          <w:sz w:val="22"/>
        </w:rPr>
      </w:pPr>
      <w:r>
        <w:rPr>
          <w:sz w:val="22"/>
        </w:rPr>
      </w:r>
    </w:p>
    <w:p>
      <w:pPr>
        <w:pStyle w:val="BodyText2"/>
        <w:rPr/>
      </w:pPr>
      <w:r>
        <w:rPr/>
        <w:t>In the restructuring model adopted in Texas, utilities were not required to divest their generating assets.  Instead, they are required to separate their business activities into power generation companies (PGCs), transmission and distribution (T&amp;D) utilities, and retail electric providers (REPs).</w:t>
      </w:r>
    </w:p>
    <w:p>
      <w:pPr>
        <w:pStyle w:val="Normal"/>
        <w:ind w:hanging="720" w:start="1440" w:end="0"/>
        <w:jc w:val="both"/>
        <w:rPr>
          <w:sz w:val="22"/>
        </w:rPr>
      </w:pPr>
      <w:r>
        <w:rPr>
          <w:sz w:val="22"/>
        </w:rPr>
      </w:r>
    </w:p>
    <w:p>
      <w:pPr>
        <w:pStyle w:val="BodyText2"/>
        <w:rPr/>
      </w:pPr>
      <w:r>
        <w:rPr>
          <w:b/>
        </w:rPr>
        <w:t>a.</w:t>
        <w:tab/>
        <w:t>Separation, not Divestiture</w:t>
      </w:r>
      <w:r>
        <w:rPr/>
        <w:t xml:space="preserve"> </w:t>
      </w:r>
    </w:p>
    <w:p>
      <w:pPr>
        <w:pStyle w:val="BodyText2"/>
        <w:rPr/>
      </w:pPr>
      <w:r>
        <w:rPr/>
      </w:r>
    </w:p>
    <w:p>
      <w:pPr>
        <w:pStyle w:val="BodyText2"/>
        <w:rPr/>
      </w:pPr>
      <w:r>
        <w:rPr/>
        <w:t>T&amp;D utilities will remain regulated by the PUC, and will collect stranded costs, if any, as a non-bypassable charge on the wires.  After the customer choice date on 1-1-2002, a T&amp;D utility may not sell electricity or otherwise participate in the market for electricity, except to buy electricity to serve its own needs.</w:t>
      </w:r>
    </w:p>
    <w:p>
      <w:pPr>
        <w:pStyle w:val="Normal"/>
        <w:ind w:hanging="720" w:start="1440" w:end="0"/>
        <w:jc w:val="both"/>
        <w:rPr>
          <w:sz w:val="22"/>
        </w:rPr>
      </w:pPr>
      <w:r>
        <w:rPr>
          <w:sz w:val="22"/>
        </w:rPr>
      </w:r>
    </w:p>
    <w:p>
      <w:pPr>
        <w:pStyle w:val="Normal"/>
        <w:jc w:val="both"/>
        <w:rPr>
          <w:sz w:val="22"/>
        </w:rPr>
      </w:pPr>
      <w:r>
        <w:rPr>
          <w:sz w:val="22"/>
        </w:rPr>
        <w:t>Affiliated REPs will be the default supplier of electricity for customers who do not choose another supplier on the choice date.  For residential and small commercial customers, the affiliated REP must provide service at the Price to Beat (PTB), a rate that represents a 6% rate cut from the bundled rates charged by the utility on Jan. 1, 1999, adjusted for changes in the cost of fuel and purchased power.  This adjustment mechanism should allow the AREPs to pass through changes in wholesale prices to some extent.</w:t>
      </w:r>
    </w:p>
    <w:p>
      <w:pPr>
        <w:pStyle w:val="Normal"/>
        <w:ind w:start="1440" w:end="0"/>
        <w:jc w:val="both"/>
        <w:rPr>
          <w:sz w:val="22"/>
        </w:rPr>
      </w:pPr>
      <w:r>
        <w:rPr>
          <w:sz w:val="22"/>
        </w:rPr>
      </w:r>
    </w:p>
    <w:p>
      <w:pPr>
        <w:pStyle w:val="Normal"/>
        <w:jc w:val="both"/>
        <w:rPr>
          <w:sz w:val="22"/>
        </w:rPr>
      </w:pPr>
      <w:r>
        <w:rPr>
          <w:sz w:val="22"/>
        </w:rPr>
        <w:t>Affiliated PGCs will not be regulated.  However, they must auction 15% of their capacity each year for five years, in order to mitigate their potential market power and distribute the state’s generation capacity entitlements among additional market participants.</w:t>
      </w:r>
    </w:p>
    <w:p>
      <w:pPr>
        <w:pStyle w:val="Normal"/>
        <w:jc w:val="both"/>
        <w:rPr>
          <w:sz w:val="28"/>
        </w:rPr>
      </w:pPr>
      <w:r>
        <w:rPr>
          <w:sz w:val="28"/>
        </w:rPr>
      </w:r>
    </w:p>
    <w:p>
      <w:pPr>
        <w:pStyle w:val="Normal"/>
        <w:jc w:val="both"/>
        <w:rPr>
          <w:b/>
          <w:sz w:val="22"/>
        </w:rPr>
      </w:pPr>
      <w:r>
        <w:rPr>
          <w:b/>
          <w:sz w:val="22"/>
        </w:rPr>
        <w:t>b.</w:t>
        <w:tab/>
        <w:t>Independent System Operator (ISO)</w:t>
      </w:r>
    </w:p>
    <w:p>
      <w:pPr>
        <w:pStyle w:val="BodyText"/>
        <w:rPr>
          <w:b/>
          <w:sz w:val="22"/>
        </w:rPr>
      </w:pPr>
      <w:r>
        <w:rPr>
          <w:b/>
          <w:sz w:val="22"/>
        </w:rPr>
      </w:r>
    </w:p>
    <w:p>
      <w:pPr>
        <w:pStyle w:val="BodyText"/>
        <w:rPr>
          <w:sz w:val="22"/>
        </w:rPr>
      </w:pPr>
      <w:r>
        <w:rPr>
          <w:sz w:val="22"/>
        </w:rPr>
        <w:t>Before customer choice can be introduced in a power region (a continuous geographical area which is a distinct NERC region), PURA requires that an independent organization must be established in the power region to:</w:t>
      </w:r>
    </w:p>
    <w:p>
      <w:pPr>
        <w:pStyle w:val="BodyText"/>
        <w:rPr>
          <w:sz w:val="22"/>
        </w:rPr>
      </w:pPr>
      <w:r>
        <w:rPr>
          <w:sz w:val="22"/>
        </w:rPr>
      </w:r>
    </w:p>
    <w:p>
      <w:pPr>
        <w:pStyle w:val="BodyText"/>
        <w:rPr>
          <w:sz w:val="22"/>
        </w:rPr>
      </w:pPr>
      <w:r>
        <w:rPr>
          <w:sz w:val="22"/>
        </w:rPr>
        <w:t>ensure nondiscriminatory access to the transmission and distribution systems for all buyers and sellers of electricity;</w:t>
      </w:r>
    </w:p>
    <w:p>
      <w:pPr>
        <w:pStyle w:val="BodyText"/>
        <w:rPr>
          <w:sz w:val="22"/>
        </w:rPr>
      </w:pPr>
      <w:r>
        <w:rPr>
          <w:sz w:val="22"/>
        </w:rPr>
      </w:r>
    </w:p>
    <w:p>
      <w:pPr>
        <w:pStyle w:val="BodyText"/>
        <w:rPr>
          <w:sz w:val="22"/>
        </w:rPr>
      </w:pPr>
      <w:r>
        <w:rPr>
          <w:sz w:val="22"/>
        </w:rPr>
        <w:t>ensure the reliability and adequacy of the regional electrical network;</w:t>
      </w:r>
    </w:p>
    <w:p>
      <w:pPr>
        <w:pStyle w:val="BodyText"/>
        <w:rPr>
          <w:sz w:val="22"/>
        </w:rPr>
      </w:pPr>
      <w:r>
        <w:rPr>
          <w:sz w:val="22"/>
        </w:rPr>
        <w:tab/>
        <w:tab/>
      </w:r>
    </w:p>
    <w:p>
      <w:pPr>
        <w:pStyle w:val="BodyText"/>
        <w:rPr>
          <w:sz w:val="22"/>
        </w:rPr>
      </w:pPr>
      <w:r>
        <w:rPr>
          <w:sz w:val="22"/>
        </w:rPr>
        <w:t>ensure that information relating to a customer’s choice of electric providers is conveyed in a timely manner; and</w:t>
      </w:r>
    </w:p>
    <w:p>
      <w:pPr>
        <w:pStyle w:val="BodyText"/>
        <w:rPr>
          <w:sz w:val="22"/>
        </w:rPr>
      </w:pPr>
      <w:r>
        <w:rPr>
          <w:sz w:val="22"/>
        </w:rPr>
      </w:r>
    </w:p>
    <w:p>
      <w:pPr>
        <w:pStyle w:val="BodyText"/>
        <w:rPr>
          <w:sz w:val="22"/>
        </w:rPr>
      </w:pPr>
      <w:r>
        <w:rPr>
          <w:sz w:val="22"/>
        </w:rPr>
        <w:t>ensure that electricity production and delivery are accurately accounted for among the generators and wholesale buyers and sellers in the region.</w:t>
      </w:r>
    </w:p>
    <w:p>
      <w:pPr>
        <w:pStyle w:val="BodyText"/>
        <w:rPr>
          <w:sz w:val="22"/>
        </w:rPr>
      </w:pPr>
      <w:r>
        <w:rPr>
          <w:sz w:val="22"/>
        </w:rPr>
      </w:r>
    </w:p>
    <w:p>
      <w:pPr>
        <w:pStyle w:val="BodyText"/>
        <w:rPr>
          <w:sz w:val="22"/>
        </w:rPr>
      </w:pPr>
      <w:r>
        <w:rPr>
          <w:sz w:val="22"/>
        </w:rPr>
        <w:t xml:space="preserve">The Commission is required to certify an independent organization to perform these functions, and may authorize the organization to charge a reasonable and competitively neutral rate to wholesale buyers and sellers to cover its costs.  The ISO must establish and enforce procedures relating to the reliability of the regional electrical network and accounting for the production and delivery of electricity.  The procedures will be subject to Commission oversight and review. </w:t>
      </w:r>
    </w:p>
    <w:p>
      <w:pPr>
        <w:pStyle w:val="BodyText"/>
        <w:rPr>
          <w:sz w:val="22"/>
        </w:rPr>
      </w:pPr>
      <w:r>
        <w:rPr>
          <w:sz w:val="22"/>
        </w:rPr>
      </w:r>
    </w:p>
    <w:p>
      <w:pPr>
        <w:pStyle w:val="BodyText"/>
        <w:rPr>
          <w:b/>
          <w:sz w:val="22"/>
        </w:rPr>
      </w:pPr>
      <w:r>
        <w:rPr>
          <w:b/>
          <w:sz w:val="22"/>
        </w:rPr>
        <w:t>(i)</w:t>
        <w:tab/>
        <w:t>The ERCOT ISO</w:t>
      </w:r>
    </w:p>
    <w:p>
      <w:pPr>
        <w:pStyle w:val="BodyText"/>
        <w:rPr>
          <w:b/>
          <w:sz w:val="22"/>
        </w:rPr>
      </w:pPr>
      <w:r>
        <w:rPr>
          <w:b/>
          <w:sz w:val="22"/>
        </w:rPr>
      </w:r>
    </w:p>
    <w:p>
      <w:pPr>
        <w:pStyle w:val="BodyText"/>
        <w:rPr>
          <w:sz w:val="22"/>
        </w:rPr>
      </w:pPr>
      <w:r>
        <w:rPr>
          <w:sz w:val="22"/>
        </w:rPr>
        <w:t xml:space="preserve">PURA permits the Commission to establish the terms and conditions for the ERCOT ISO to oversee utility dispatch functions after the customer choice date. </w:t>
      </w:r>
    </w:p>
    <w:p>
      <w:pPr>
        <w:pStyle w:val="BodyText"/>
        <w:rPr>
          <w:sz w:val="22"/>
        </w:rPr>
      </w:pPr>
      <w:r>
        <w:rPr>
          <w:sz w:val="22"/>
        </w:rPr>
      </w:r>
    </w:p>
    <w:p>
      <w:pPr>
        <w:pStyle w:val="BodyText"/>
        <w:rPr>
          <w:sz w:val="22"/>
        </w:rPr>
      </w:pPr>
      <w:r>
        <w:rPr>
          <w:sz w:val="22"/>
        </w:rPr>
        <w:t xml:space="preserve">ERCOT has been certified by the PUC, and its Protocols, developed by ERCOT stakeholders in numerous meetings and working groups over the last 18 months, were approved by the Commission in February.  ERCOT will be transitioning to single control area operation in July, with the ISO dispatching the grid.  </w:t>
      </w:r>
    </w:p>
    <w:p>
      <w:pPr>
        <w:pStyle w:val="Normal"/>
        <w:jc w:val="both"/>
        <w:rPr>
          <w:sz w:val="22"/>
        </w:rPr>
      </w:pPr>
      <w:r>
        <w:rPr>
          <w:sz w:val="22"/>
        </w:rPr>
      </w:r>
    </w:p>
    <w:p>
      <w:pPr>
        <w:pStyle w:val="BodyText2"/>
        <w:rPr/>
      </w:pPr>
      <w:r>
        <w:rPr/>
        <w:t>The ERCOT ISO will not operate a pool, but private entities like APX may choose to do so in the future.  The ERCOT ISO’s responsibilities include operation of the electronic transmission information network; acting as a single point of contact for initiation of transmission transactions; maintenance of reliability, including instantaneous balancing of generation and load and monitoring adequacy of resources to meet load; direct curtailment and redispatch; the acceptance and supervision of all requests for interconnection, and system planning.  The ISO will continue its responsibilities in identifying system constraints and proposing transmission relief projects.</w:t>
      </w:r>
    </w:p>
    <w:p>
      <w:pPr>
        <w:pStyle w:val="Normal"/>
        <w:jc w:val="both"/>
        <w:rPr>
          <w:sz w:val="22"/>
        </w:rPr>
      </w:pPr>
      <w:r>
        <w:rPr>
          <w:sz w:val="22"/>
        </w:rPr>
      </w:r>
    </w:p>
    <w:p>
      <w:pPr>
        <w:pStyle w:val="Normal"/>
        <w:jc w:val="both"/>
        <w:rPr>
          <w:b/>
          <w:sz w:val="22"/>
        </w:rPr>
      </w:pPr>
      <w:r>
        <w:rPr>
          <w:b/>
          <w:sz w:val="22"/>
        </w:rPr>
        <w:t>(ii)</w:t>
        <w:tab/>
        <w:t>Other ISOs</w:t>
      </w:r>
    </w:p>
    <w:p>
      <w:pPr>
        <w:pStyle w:val="Normal"/>
        <w:jc w:val="both"/>
        <w:rPr>
          <w:b/>
          <w:sz w:val="22"/>
        </w:rPr>
      </w:pPr>
      <w:r>
        <w:rPr>
          <w:b/>
          <w:sz w:val="22"/>
        </w:rPr>
      </w:r>
    </w:p>
    <w:p>
      <w:pPr>
        <w:pStyle w:val="BodyText2"/>
        <w:rPr/>
      </w:pPr>
      <w:r>
        <w:rPr/>
        <w:t>No independent organization has yet applied for certification for the areas of Texas not included in ERCOT.  Those areas include northeast Texas (served by Southwestern Electric Power Company), southeast Texas (Entergy-Gulf States), far west Texas (El Paso Electric Company), and the Panhandle (Southwestern Public Service Co.).</w:t>
      </w:r>
    </w:p>
    <w:p>
      <w:pPr>
        <w:pStyle w:val="Normal"/>
        <w:jc w:val="both"/>
        <w:rPr>
          <w:sz w:val="22"/>
        </w:rPr>
      </w:pPr>
      <w:r>
        <w:rPr>
          <w:sz w:val="22"/>
        </w:rPr>
      </w:r>
    </w:p>
    <w:p>
      <w:pPr>
        <w:pStyle w:val="Normal"/>
        <w:jc w:val="both"/>
        <w:rPr>
          <w:sz w:val="22"/>
        </w:rPr>
      </w:pPr>
      <w:r>
        <w:rPr>
          <w:sz w:val="22"/>
        </w:rPr>
        <w:t>The Southwest Power Pool (SPP) has announced that it plans to file an application for certification for northeast Texas within the next two months.  SPP’s application to the Federal Energy Regulatory Commission (FERC) as a regional transmission organization (RTO) was rejected last month, but SPP plans to reapply, correcting the deficiencies found by FERC.  Entergy plans to apply, along with SPP, to operate an RTO and a Transco.</w:t>
      </w:r>
    </w:p>
    <w:p>
      <w:pPr>
        <w:pStyle w:val="Normal"/>
        <w:jc w:val="both"/>
        <w:rPr>
          <w:sz w:val="22"/>
        </w:rPr>
      </w:pPr>
      <w:r>
        <w:rPr>
          <w:sz w:val="22"/>
        </w:rPr>
      </w:r>
    </w:p>
    <w:p>
      <w:pPr>
        <w:pStyle w:val="Normal"/>
        <w:jc w:val="both"/>
        <w:rPr>
          <w:sz w:val="22"/>
        </w:rPr>
      </w:pPr>
      <w:r>
        <w:rPr>
          <w:sz w:val="22"/>
        </w:rPr>
        <w:t xml:space="preserve">There are no plans for the Western States Coordinating Council (WSCC) to file for certification with the PUC at present.  Customers of El Paso Electric Company, located in the WSCC, will not be permitted to exercise choice until that utility’s rate freeze ordered by its bankruptcy judge expires in 2006. </w:t>
      </w:r>
    </w:p>
    <w:p>
      <w:pPr>
        <w:pStyle w:val="Normal"/>
        <w:jc w:val="both"/>
        <w:rPr>
          <w:sz w:val="22"/>
        </w:rPr>
      </w:pPr>
      <w:r>
        <w:rPr>
          <w:sz w:val="22"/>
        </w:rPr>
      </w:r>
    </w:p>
    <w:p>
      <w:pPr>
        <w:pStyle w:val="Normal"/>
        <w:jc w:val="both"/>
        <w:rPr>
          <w:sz w:val="22"/>
        </w:rPr>
      </w:pPr>
      <w:r>
        <w:rPr>
          <w:sz w:val="22"/>
        </w:rPr>
        <w:t>In the Panhandle, it appears that Southwestern Public Service Co. (SPS) will be exempted from restructuring for the next several years, under a pending bill sponsored by the Speaker of the House of Representatives and supported by both SPS and its customers.  Because SPS has very low retail rates, and transmission into the area is severely limited, it appears that no viable competition is likely to develop in that area at this time.</w:t>
      </w:r>
    </w:p>
    <w:p>
      <w:pPr>
        <w:pStyle w:val="Normal"/>
        <w:jc w:val="both"/>
        <w:rPr>
          <w:sz w:val="22"/>
        </w:rPr>
      </w:pPr>
      <w:r>
        <w:rPr>
          <w:sz w:val="22"/>
        </w:rPr>
      </w:r>
    </w:p>
    <w:p>
      <w:pPr>
        <w:pStyle w:val="Normal"/>
        <w:jc w:val="both"/>
        <w:rPr>
          <w:sz w:val="22"/>
        </w:rPr>
      </w:pPr>
      <w:r>
        <w:rPr>
          <w:sz w:val="22"/>
        </w:rPr>
      </w:r>
    </w:p>
    <w:p>
      <w:pPr>
        <w:pStyle w:val="Heading1"/>
        <w:ind w:hanging="720" w:start="720" w:end="0"/>
        <w:rPr>
          <w:sz w:val="24"/>
        </w:rPr>
      </w:pPr>
      <w:r>
        <w:rPr>
          <w:sz w:val="24"/>
        </w:rPr>
        <w:t>II.</w:t>
        <w:tab/>
        <w:t>IMPLEMENTATION OF RESTRUCTURING IN TEXAS: PUC RULES</w:t>
      </w:r>
    </w:p>
    <w:p>
      <w:pPr>
        <w:pStyle w:val="Normal"/>
        <w:jc w:val="both"/>
        <w:rPr>
          <w:sz w:val="24"/>
        </w:rPr>
      </w:pPr>
      <w:r>
        <w:rPr>
          <w:sz w:val="24"/>
        </w:rPr>
      </w:r>
    </w:p>
    <w:p>
      <w:pPr>
        <w:pStyle w:val="BodyText3"/>
        <w:jc w:val="both"/>
        <w:rPr/>
      </w:pPr>
      <w:r>
        <w:rPr/>
        <w:t>Pursuant to its responsibilities under PURA, the PUC has undertaken 23 rulemaking projects to implement restructuring.  Twenty-one rules have been adopted, and two remain pending.  This paper will discuss only selected rules from among those adopted and pending.</w:t>
      </w:r>
    </w:p>
    <w:p>
      <w:pPr>
        <w:pStyle w:val="Normal"/>
        <w:jc w:val="both"/>
        <w:rPr>
          <w:sz w:val="28"/>
        </w:rPr>
      </w:pPr>
      <w:r>
        <w:rPr>
          <w:sz w:val="28"/>
        </w:rPr>
      </w:r>
    </w:p>
    <w:p>
      <w:pPr>
        <w:pStyle w:val="Normal"/>
        <w:ind w:hanging="720" w:start="720" w:end="0"/>
        <w:jc w:val="both"/>
        <w:rPr>
          <w:b/>
          <w:sz w:val="24"/>
        </w:rPr>
      </w:pPr>
      <w:r>
        <w:rPr>
          <w:b/>
          <w:sz w:val="24"/>
        </w:rPr>
        <w:t>A.</w:t>
        <w:tab/>
        <w:t>Cost Unbundling and Business Separation Plans</w:t>
      </w:r>
    </w:p>
    <w:p>
      <w:pPr>
        <w:pStyle w:val="Normal"/>
        <w:jc w:val="both"/>
        <w:rPr>
          <w:b/>
          <w:sz w:val="28"/>
        </w:rPr>
      </w:pPr>
      <w:r>
        <w:rPr>
          <w:b/>
          <w:sz w:val="28"/>
        </w:rPr>
      </w:r>
    </w:p>
    <w:p>
      <w:pPr>
        <w:pStyle w:val="Normal"/>
        <w:jc w:val="both"/>
        <w:rPr>
          <w:b/>
          <w:sz w:val="24"/>
        </w:rPr>
      </w:pPr>
      <w:r>
        <w:rPr>
          <w:b/>
          <w:sz w:val="24"/>
        </w:rPr>
        <w:t>1.</w:t>
        <w:tab/>
        <w:t xml:space="preserve">Statutory Requirements  </w:t>
      </w:r>
    </w:p>
    <w:p>
      <w:pPr>
        <w:pStyle w:val="Normal"/>
        <w:jc w:val="both"/>
        <w:rPr>
          <w:b/>
          <w:sz w:val="24"/>
        </w:rPr>
      </w:pPr>
      <w:r>
        <w:rPr>
          <w:b/>
          <w:sz w:val="24"/>
        </w:rPr>
      </w:r>
    </w:p>
    <w:p>
      <w:pPr>
        <w:pStyle w:val="Normal"/>
        <w:jc w:val="both"/>
        <w:rPr>
          <w:sz w:val="22"/>
        </w:rPr>
      </w:pPr>
      <w:r>
        <w:rPr>
          <w:sz w:val="22"/>
        </w:rPr>
        <w:t xml:space="preserve">By 9-1-2000, each electric utility must separate from its regulated utility activities its energy services that are already widely available from other companies in the competitive market.  By 1-1-2002, each electric utility must separate its activities into a PGC, a REP, and a T&amp;D utility.  The T&amp;D utility will remain fully regulated by the Commission, while the PGC and the REP will be unregulated.  </w:t>
      </w:r>
    </w:p>
    <w:p>
      <w:pPr>
        <w:pStyle w:val="Normal"/>
        <w:jc w:val="both"/>
        <w:rPr>
          <w:sz w:val="22"/>
        </w:rPr>
      </w:pPr>
      <w:r>
        <w:rPr>
          <w:sz w:val="22"/>
        </w:rPr>
      </w:r>
    </w:p>
    <w:p>
      <w:pPr>
        <w:pStyle w:val="Normal"/>
        <w:jc w:val="both"/>
        <w:rPr>
          <w:sz w:val="22"/>
        </w:rPr>
      </w:pPr>
      <w:r>
        <w:rPr>
          <w:sz w:val="22"/>
        </w:rPr>
        <w:t>The separation may be accomplished either through the creation of separate, nonaffiliated companies or separate affiliated companies owned by a single holding company, or through the sale of assets to a third party.  The unbundling must be made in a manner that provides for the separation of personnel, information flow, functions, and operations.</w:t>
      </w:r>
    </w:p>
    <w:p>
      <w:pPr>
        <w:pStyle w:val="Normal"/>
        <w:jc w:val="both"/>
        <w:rPr>
          <w:sz w:val="22"/>
        </w:rPr>
      </w:pPr>
      <w:r>
        <w:rPr>
          <w:sz w:val="22"/>
        </w:rPr>
      </w:r>
    </w:p>
    <w:p>
      <w:pPr>
        <w:pStyle w:val="Normal"/>
        <w:jc w:val="both"/>
        <w:rPr>
          <w:sz w:val="22"/>
        </w:rPr>
      </w:pPr>
      <w:r>
        <w:rPr>
          <w:sz w:val="22"/>
        </w:rPr>
        <w:t xml:space="preserve">By 1-10-2000, each electric utility must file a plan to implement this business separation requirement.  The Commission will approve, change, or reject the plan in a contested case.  By 3-31-00, each utility must apply to unbundle its costs and rates among these business functions.  The utilities shall file their costs as of 1-1-2002 (projected test year). </w:t>
      </w:r>
    </w:p>
    <w:p>
      <w:pPr>
        <w:pStyle w:val="Normal"/>
        <w:jc w:val="both"/>
        <w:rPr>
          <w:sz w:val="22"/>
        </w:rPr>
      </w:pPr>
      <w:r>
        <w:rPr>
          <w:sz w:val="22"/>
        </w:rPr>
      </w:r>
    </w:p>
    <w:p>
      <w:pPr>
        <w:pStyle w:val="Normal"/>
        <w:jc w:val="both"/>
        <w:rPr>
          <w:sz w:val="22"/>
        </w:rPr>
      </w:pPr>
      <w:r>
        <w:rPr>
          <w:sz w:val="22"/>
        </w:rPr>
        <w:t>Each electric utility’s base rates will be frozen at 9-1-99 levels until 1-1-2002, and may be changed only for force majeure circumstances.  The rate freeze does not affect a utility’s fuel factor, which may be changed during the freeze period, and utilities may file for approval of new rates or tariff options during the freeze period.</w:t>
      </w:r>
    </w:p>
    <w:p>
      <w:pPr>
        <w:pStyle w:val="Normal"/>
        <w:jc w:val="both"/>
        <w:rPr>
          <w:sz w:val="22"/>
        </w:rPr>
      </w:pPr>
      <w:r>
        <w:rPr>
          <w:sz w:val="22"/>
        </w:rPr>
      </w:r>
    </w:p>
    <w:p>
      <w:pPr>
        <w:pStyle w:val="Normal"/>
        <w:jc w:val="both"/>
        <w:rPr>
          <w:sz w:val="22"/>
        </w:rPr>
      </w:pPr>
      <w:r>
        <w:rPr>
          <w:b/>
          <w:sz w:val="24"/>
        </w:rPr>
        <w:t>2.</w:t>
        <w:tab/>
        <w:t>The Rule</w:t>
      </w:r>
    </w:p>
    <w:p>
      <w:pPr>
        <w:pStyle w:val="Normal"/>
        <w:jc w:val="both"/>
        <w:rPr>
          <w:sz w:val="22"/>
        </w:rPr>
      </w:pPr>
      <w:r>
        <w:rPr>
          <w:sz w:val="22"/>
        </w:rPr>
      </w:r>
    </w:p>
    <w:p>
      <w:pPr>
        <w:pStyle w:val="Normal"/>
        <w:jc w:val="both"/>
        <w:rPr>
          <w:sz w:val="22"/>
        </w:rPr>
      </w:pPr>
      <w:r>
        <w:rPr>
          <w:sz w:val="22"/>
        </w:rPr>
        <w:t>The unbundling rules include regulations governing the separation of costs among the PGC, REP and T&amp;D functions, as well as detailed instructions for the unbundling applications to be filed by the utilities.  Two unbundling filings are required: one to unbundle the business functions of the utility (filed on Jan. 10, 2000), and one to unbundle the costs and rates of the utility (filed on March 31, 2000).  The Commission adopted these rules as one of its first restructuring-related projects, in order to accommodate the statutory deadlines for these filings.</w:t>
      </w:r>
    </w:p>
    <w:p>
      <w:pPr>
        <w:pStyle w:val="Normal"/>
        <w:jc w:val="both"/>
        <w:rPr>
          <w:sz w:val="22"/>
        </w:rPr>
      </w:pPr>
      <w:r>
        <w:rPr>
          <w:sz w:val="22"/>
        </w:rPr>
      </w:r>
    </w:p>
    <w:p>
      <w:pPr>
        <w:pStyle w:val="BodyText2"/>
        <w:rPr/>
      </w:pPr>
      <w:r>
        <w:rPr/>
        <w:t>The Commission determined that, rather than starting with the total costs to provide bundled utility service and separating out those associated with the unbundled business activities, the utilities should file the costs of its regulated T&amp;D activities only.  The rule provides detailed guidance for allocating FERC accounts, and within FERC accounts, among functions.</w:t>
      </w:r>
    </w:p>
    <w:p>
      <w:pPr>
        <w:pStyle w:val="Normal"/>
        <w:jc w:val="both"/>
        <w:rPr>
          <w:sz w:val="22"/>
        </w:rPr>
      </w:pPr>
      <w:r>
        <w:rPr>
          <w:sz w:val="22"/>
        </w:rPr>
        <w:t xml:space="preserve"> </w:t>
      </w:r>
    </w:p>
    <w:p>
      <w:pPr>
        <w:pStyle w:val="Normal"/>
        <w:jc w:val="both"/>
        <w:rPr>
          <w:b/>
          <w:sz w:val="24"/>
        </w:rPr>
      </w:pPr>
      <w:r>
        <w:rPr>
          <w:b/>
          <w:sz w:val="24"/>
        </w:rPr>
        <w:t>B.</w:t>
        <w:tab/>
        <w:t>Code of Conduct:</w:t>
      </w:r>
    </w:p>
    <w:p>
      <w:pPr>
        <w:pStyle w:val="Normal"/>
        <w:jc w:val="both"/>
        <w:rPr>
          <w:b/>
          <w:sz w:val="28"/>
        </w:rPr>
      </w:pPr>
      <w:r>
        <w:rPr>
          <w:b/>
          <w:sz w:val="28"/>
        </w:rPr>
      </w:r>
    </w:p>
    <w:p>
      <w:pPr>
        <w:pStyle w:val="BodyText"/>
        <w:rPr>
          <w:sz w:val="22"/>
        </w:rPr>
      </w:pPr>
      <w:r>
        <w:rPr>
          <w:sz w:val="22"/>
        </w:rPr>
        <w:t>By 1-10-2000, the Commission must adopt rules and enforcement procedures to govern transactions and activities between a T&amp;D utility and its competitive affiliates (a “Code of Conduct”).  Requirements for the Code of Conduct are set out in PURA, and more fully developed in the rule adopted by the Commission.  Corporate support services, defined to include human resources, procurement, information technology, regulatory services, legal services, administrative services, research and development, real estate services, internal audit, community relations, corporate communications, financial services, financial planning and support, corporate services, corporate secretary, corporate planning, and lobbying, may be shared between a T&amp;D utility and its affiliates.  Services that may not be shared include engineering, purchasing of electric transmission, transmission and distribution system operations, and marketing.</w:t>
      </w:r>
    </w:p>
    <w:p>
      <w:pPr>
        <w:pStyle w:val="BodyText"/>
        <w:rPr>
          <w:sz w:val="22"/>
        </w:rPr>
      </w:pPr>
      <w:r>
        <w:rPr>
          <w:sz w:val="22"/>
        </w:rPr>
      </w:r>
    </w:p>
    <w:p>
      <w:pPr>
        <w:pStyle w:val="Normal"/>
        <w:jc w:val="both"/>
        <w:rPr>
          <w:b/>
          <w:sz w:val="24"/>
        </w:rPr>
      </w:pPr>
      <w:r>
        <w:rPr>
          <w:b/>
          <w:sz w:val="24"/>
        </w:rPr>
        <w:t>C.</w:t>
        <w:tab/>
        <w:t>Renewable Energy Mandate</w:t>
      </w:r>
    </w:p>
    <w:p>
      <w:pPr>
        <w:pStyle w:val="Normal"/>
        <w:jc w:val="both"/>
        <w:rPr>
          <w:b/>
          <w:sz w:val="28"/>
          <w:u w:val="single"/>
        </w:rPr>
      </w:pPr>
      <w:r>
        <w:rPr>
          <w:b/>
          <w:sz w:val="28"/>
          <w:u w:val="single"/>
        </w:rPr>
      </w:r>
    </w:p>
    <w:p>
      <w:pPr>
        <w:pStyle w:val="BodyText"/>
        <w:rPr>
          <w:b/>
        </w:rPr>
      </w:pPr>
      <w:r>
        <w:rPr>
          <w:b/>
        </w:rPr>
        <w:t>1.</w:t>
        <w:tab/>
        <w:t>Statutory Requirements</w:t>
      </w:r>
    </w:p>
    <w:p>
      <w:pPr>
        <w:pStyle w:val="BodyText"/>
        <w:rPr>
          <w:b/>
        </w:rPr>
      </w:pPr>
      <w:r>
        <w:rPr>
          <w:b/>
        </w:rPr>
      </w:r>
    </w:p>
    <w:p>
      <w:pPr>
        <w:pStyle w:val="BodyText"/>
        <w:rPr>
          <w:sz w:val="22"/>
        </w:rPr>
      </w:pPr>
      <w:r>
        <w:rPr>
          <w:sz w:val="22"/>
        </w:rPr>
        <w:t>The Legislature mandated that by 1-1-2009, an additional 2,000 MW of generating capacity from renewable technologies shall have been installed in this state.  The cumulative installed renewable capacity must total 1,280 MW by 1-1-2003; 1,730 MW by 1-1-2005; 2,280 MW by 1-1-2007; and 2,880 MW by 1-1-2009.  “Renewable energy technology” means any technology that exclusively relies on an energy source that is naturally regenerated over a short time and derived directly from the sun, indirectly from the sun, or from moving water or other natural movements and mechanisms of the environment.  Renewable energy technology includes biomass and landfill gas, but does not include resources derived from fossil fuels, waste products from fossil fuels, or waste products from inorganic sources.</w:t>
      </w:r>
    </w:p>
    <w:p>
      <w:pPr>
        <w:pStyle w:val="BodyText"/>
        <w:rPr>
          <w:sz w:val="22"/>
        </w:rPr>
      </w:pPr>
      <w:r>
        <w:rPr>
          <w:sz w:val="22"/>
        </w:rPr>
      </w:r>
    </w:p>
    <w:p>
      <w:pPr>
        <w:pStyle w:val="BodyText"/>
        <w:rPr>
          <w:b/>
        </w:rPr>
      </w:pPr>
      <w:r>
        <w:rPr>
          <w:b/>
        </w:rPr>
        <w:t>2.</w:t>
        <w:tab/>
        <w:t>The Rule</w:t>
      </w:r>
    </w:p>
    <w:p>
      <w:pPr>
        <w:pStyle w:val="BodyText"/>
        <w:rPr>
          <w:b/>
        </w:rPr>
      </w:pPr>
      <w:r>
        <w:rPr>
          <w:b/>
        </w:rPr>
      </w:r>
    </w:p>
    <w:p>
      <w:pPr>
        <w:pStyle w:val="BodyText"/>
        <w:rPr>
          <w:sz w:val="22"/>
        </w:rPr>
      </w:pPr>
      <w:r>
        <w:rPr>
          <w:sz w:val="22"/>
        </w:rPr>
        <w:t xml:space="preserve">The Commission adopted a rule in December, 2000 pursuant to the statutory requirement for REPs to acquire the minimum annual renewable energy requirements set out in PURA.   The rule creates a product called a renewable energy credit (REC), and establishes a REC trading program. Any REP, municipally owned utility and electric cooperative that does not directly own or purchase capacity using renewable energy technologies must purchase sufficient RECs to satisfy its renewable energy requirements.  Municipally owned utilities and electric cooperatives that own or purchase power from existing renewable resources, such as hydroelectric plants, may use their output as offsets to the REC purchase requirement.  </w:t>
      </w:r>
    </w:p>
    <w:p>
      <w:pPr>
        <w:pStyle w:val="BodyText"/>
        <w:rPr>
          <w:sz w:val="22"/>
        </w:rPr>
      </w:pPr>
      <w:r>
        <w:rPr>
          <w:sz w:val="22"/>
        </w:rPr>
      </w:r>
    </w:p>
    <w:p>
      <w:pPr>
        <w:pStyle w:val="BodyText"/>
        <w:rPr>
          <w:sz w:val="22"/>
        </w:rPr>
      </w:pPr>
      <w:r>
        <w:rPr>
          <w:sz w:val="22"/>
        </w:rPr>
        <w:t>The rule also specifies reasonable performance standards that all renewable capacity additions must meet. The performance standards are designed to encourage the development, construction and operation of new renewable energy projects at those sites that have the greatest economic potential for capture and development of Texas’ renewable resources.</w:t>
      </w:r>
    </w:p>
    <w:p>
      <w:pPr>
        <w:pStyle w:val="BodyText"/>
        <w:rPr>
          <w:sz w:val="22"/>
        </w:rPr>
      </w:pPr>
      <w:r>
        <w:rPr>
          <w:sz w:val="22"/>
        </w:rPr>
      </w:r>
    </w:p>
    <w:p>
      <w:pPr>
        <w:pStyle w:val="Normal"/>
        <w:keepNext w:val="true"/>
        <w:jc w:val="both"/>
        <w:rPr>
          <w:b/>
          <w:sz w:val="24"/>
          <w:u w:val="single"/>
        </w:rPr>
      </w:pPr>
      <w:r>
        <w:rPr>
          <w:b/>
          <w:sz w:val="24"/>
        </w:rPr>
        <w:t>D.</w:t>
        <w:tab/>
        <w:t>Energy Efficiency Programs</w:t>
      </w:r>
    </w:p>
    <w:p>
      <w:pPr>
        <w:pStyle w:val="Normal"/>
        <w:keepNext w:val="true"/>
        <w:jc w:val="both"/>
        <w:rPr>
          <w:b/>
          <w:sz w:val="24"/>
          <w:u w:val="single"/>
        </w:rPr>
      </w:pPr>
      <w:r>
        <w:rPr>
          <w:b/>
          <w:sz w:val="24"/>
          <w:u w:val="single"/>
        </w:rPr>
      </w:r>
    </w:p>
    <w:p>
      <w:pPr>
        <w:pStyle w:val="BodyText"/>
        <w:rPr>
          <w:sz w:val="22"/>
        </w:rPr>
      </w:pPr>
      <w:r>
        <w:rPr>
          <w:sz w:val="22"/>
        </w:rPr>
        <w:t>The Legislature mandated that electric utilities administer energy savings incentive programs in a market-neutral, nondiscriminatory manner, and prohibits them from offering underlying competitive services themselves.  PURA requires that customers in all classes have a choice of and access to energy efficiency alternatives in the market that will allow them to reduce energy consumption and energy costs.</w:t>
      </w:r>
    </w:p>
    <w:p>
      <w:pPr>
        <w:pStyle w:val="BodyText"/>
        <w:rPr>
          <w:sz w:val="22"/>
        </w:rPr>
      </w:pPr>
      <w:r>
        <w:rPr>
          <w:sz w:val="22"/>
        </w:rPr>
      </w:r>
    </w:p>
    <w:p>
      <w:pPr>
        <w:pStyle w:val="BodyText"/>
        <w:rPr>
          <w:sz w:val="22"/>
        </w:rPr>
      </w:pPr>
      <w:r>
        <w:rPr>
          <w:sz w:val="22"/>
        </w:rPr>
        <w:t>Each electric utility is required to provide, through market-based standard offer programs or limited, targeted market-transformation programs, incentives sufficient for REPs and competitive energy service providers to acquire cost-effective energy efficiency equivalent to at least 10% of the electric utility’s annual growth in demand.  The Commission’s rule includes procedures to ensure that this goal is achieved by 1-1-2004.</w:t>
      </w:r>
    </w:p>
    <w:p>
      <w:pPr>
        <w:pStyle w:val="Normal"/>
        <w:jc w:val="both"/>
        <w:rPr>
          <w:sz w:val="28"/>
        </w:rPr>
      </w:pPr>
      <w:r>
        <w:rPr>
          <w:sz w:val="28"/>
        </w:rPr>
      </w:r>
    </w:p>
    <w:p>
      <w:pPr>
        <w:pStyle w:val="Heading3"/>
        <w:ind w:hanging="0" w:start="0"/>
        <w:rPr/>
      </w:pPr>
      <w:r>
        <w:rPr/>
        <w:t>E.</w:t>
        <w:tab/>
        <w:t>Customer Protection</w:t>
      </w:r>
    </w:p>
    <w:p>
      <w:pPr>
        <w:pStyle w:val="Normal"/>
        <w:jc w:val="both"/>
        <w:rPr>
          <w:sz w:val="28"/>
          <w:u w:val="single"/>
        </w:rPr>
      </w:pPr>
      <w:r>
        <w:rPr>
          <w:sz w:val="28"/>
          <w:u w:val="single"/>
        </w:rPr>
      </w:r>
    </w:p>
    <w:p>
      <w:pPr>
        <w:pStyle w:val="Normal"/>
        <w:jc w:val="both"/>
        <w:rPr>
          <w:b/>
          <w:sz w:val="24"/>
        </w:rPr>
      </w:pPr>
      <w:r>
        <w:rPr>
          <w:b/>
          <w:sz w:val="24"/>
        </w:rPr>
        <w:t>1.</w:t>
        <w:tab/>
        <w:t>Statutory Requirements</w:t>
      </w:r>
    </w:p>
    <w:p>
      <w:pPr>
        <w:pStyle w:val="Normal"/>
        <w:jc w:val="both"/>
        <w:rPr>
          <w:b/>
          <w:sz w:val="24"/>
        </w:rPr>
      </w:pPr>
      <w:r>
        <w:rPr>
          <w:b/>
          <w:sz w:val="24"/>
        </w:rPr>
      </w:r>
    </w:p>
    <w:p>
      <w:pPr>
        <w:pStyle w:val="Normal"/>
        <w:jc w:val="both"/>
        <w:rPr>
          <w:sz w:val="22"/>
        </w:rPr>
      </w:pPr>
      <w:r>
        <w:rPr>
          <w:sz w:val="22"/>
        </w:rPr>
        <w:t>The Commission is empowered to make and enforce rules guaranteeing certain customer rights set forth in this section of PURA.  The rules must include minimum service standards for a REP relating to customer deposits and the extension of credit, switching fees, levelized billing programs, interconnection and use of on-site generation, termination of service, and quality of service.</w:t>
      </w:r>
    </w:p>
    <w:p>
      <w:pPr>
        <w:pStyle w:val="Normal"/>
        <w:jc w:val="both"/>
        <w:rPr>
          <w:sz w:val="22"/>
        </w:rPr>
      </w:pPr>
      <w:r>
        <w:rPr>
          <w:sz w:val="22"/>
        </w:rPr>
      </w:r>
    </w:p>
    <w:p>
      <w:pPr>
        <w:pStyle w:val="Normal"/>
        <w:jc w:val="both"/>
        <w:rPr>
          <w:sz w:val="22"/>
        </w:rPr>
      </w:pPr>
      <w:r>
        <w:rPr>
          <w:sz w:val="22"/>
        </w:rPr>
        <w:t>A REP, power generation company, aggregator, or any entity that provides retail electric service may not refuse to provide retail electric or generation service or otherwise discriminate against any customer because of race, creed, color, national origin, ancestry, sex, marital status, lawful source of income, disability, familial status, or because the customer is located in an economically distressed area of the state.</w:t>
      </w:r>
    </w:p>
    <w:p>
      <w:pPr>
        <w:pStyle w:val="Normal"/>
        <w:jc w:val="both"/>
        <w:rPr>
          <w:sz w:val="22"/>
        </w:rPr>
      </w:pPr>
      <w:r>
        <w:rPr>
          <w:sz w:val="22"/>
        </w:rPr>
      </w:r>
    </w:p>
    <w:p>
      <w:pPr>
        <w:pStyle w:val="Normal"/>
        <w:jc w:val="both"/>
        <w:rPr>
          <w:sz w:val="22"/>
        </w:rPr>
      </w:pPr>
      <w:r>
        <w:rPr>
          <w:sz w:val="22"/>
        </w:rPr>
        <w:t>The Commission shall require a provider of electric service to comply with the antidiscrimination provisions listed above as a condition of certification or registration.  In addition, the Commission has jurisdiction over all providers in enforcing the customer safeguards, and may assess civil and administrative penalties against them.</w:t>
      </w:r>
    </w:p>
    <w:p>
      <w:pPr>
        <w:pStyle w:val="Normal"/>
        <w:jc w:val="both"/>
        <w:rPr>
          <w:sz w:val="22"/>
        </w:rPr>
      </w:pPr>
      <w:r>
        <w:rPr>
          <w:sz w:val="22"/>
        </w:rPr>
      </w:r>
    </w:p>
    <w:p>
      <w:pPr>
        <w:pStyle w:val="BodyText"/>
        <w:rPr>
          <w:sz w:val="22"/>
        </w:rPr>
      </w:pPr>
      <w:r>
        <w:rPr>
          <w:sz w:val="22"/>
        </w:rPr>
        <w:t>The rules must prohibit telephone solicitations to electric customers who have given notice to the Commission of the customer’s objection to receiving such solicitations.  The Commission is required to maintain a database with the list of such customers.</w:t>
      </w:r>
    </w:p>
    <w:p>
      <w:pPr>
        <w:pStyle w:val="BodyText"/>
        <w:rPr>
          <w:sz w:val="22"/>
        </w:rPr>
      </w:pPr>
      <w:r>
        <w:rPr>
          <w:sz w:val="22"/>
        </w:rPr>
      </w:r>
    </w:p>
    <w:p>
      <w:pPr>
        <w:pStyle w:val="BodyText"/>
        <w:rPr>
          <w:b/>
        </w:rPr>
      </w:pPr>
      <w:r>
        <w:rPr>
          <w:b/>
        </w:rPr>
        <w:t>2.</w:t>
        <w:tab/>
        <w:t>The Rule</w:t>
      </w:r>
    </w:p>
    <w:p>
      <w:pPr>
        <w:pStyle w:val="BodyText"/>
        <w:rPr>
          <w:b/>
        </w:rPr>
      </w:pPr>
      <w:r>
        <w:rPr>
          <w:b/>
        </w:rPr>
      </w:r>
    </w:p>
    <w:p>
      <w:pPr>
        <w:pStyle w:val="Normal"/>
        <w:jc w:val="both"/>
        <w:rPr>
          <w:sz w:val="22"/>
        </w:rPr>
      </w:pPr>
      <w:r>
        <w:rPr>
          <w:sz w:val="22"/>
        </w:rPr>
        <w:t>A coalition of potential REPs, both affiliated REPs and competitive REPs, worked together to draft and lobby for a customer protection rule.  Opposed to the REP coalition on several issues were representatives of various consumer groups, such as AARP and Consumers’ Union.  The consumer groups generally advocated stricter requirements for REPs, which the REPs considered to be unnecessary and harmful to competition in that they would add to REPs’ costs.</w:t>
      </w:r>
    </w:p>
    <w:p>
      <w:pPr>
        <w:pStyle w:val="Normal"/>
        <w:jc w:val="both"/>
        <w:rPr>
          <w:sz w:val="22"/>
        </w:rPr>
      </w:pPr>
      <w:r>
        <w:rPr>
          <w:sz w:val="22"/>
        </w:rPr>
      </w:r>
    </w:p>
    <w:p>
      <w:pPr>
        <w:pStyle w:val="Normal"/>
        <w:jc w:val="both"/>
        <w:rPr>
          <w:sz w:val="22"/>
        </w:rPr>
      </w:pPr>
      <w:r>
        <w:rPr>
          <w:sz w:val="22"/>
        </w:rPr>
        <w:t>As expected, the Commission’s rule was a judicious compromise among the parties’ positions.  The rule includes such features as the following:</w:t>
      </w:r>
    </w:p>
    <w:p>
      <w:pPr>
        <w:pStyle w:val="Normal"/>
        <w:ind w:hanging="720" w:start="720" w:end="0"/>
        <w:jc w:val="both"/>
        <w:rPr>
          <w:sz w:val="22"/>
        </w:rPr>
      </w:pPr>
      <w:r>
        <w:rPr>
          <w:sz w:val="22"/>
        </w:rPr>
      </w:r>
    </w:p>
    <w:p>
      <w:pPr>
        <w:pStyle w:val="Normal"/>
        <w:jc w:val="both"/>
        <w:rPr>
          <w:sz w:val="22"/>
        </w:rPr>
      </w:pPr>
      <w:r>
        <w:rPr>
          <w:sz w:val="22"/>
        </w:rPr>
        <w:t>electric utilities are required to release a mass customer list of Price to Beat (PTB) customers on Dec. 31 each year from 2002 to 2006 (name, billing address, rate class, monthly usage, meter type and ESI-ID) at no charge to REPs (customers can opt not to be included);</w:t>
      </w:r>
    </w:p>
    <w:p>
      <w:pPr>
        <w:pStyle w:val="Normal"/>
        <w:ind w:hanging="720" w:start="1440" w:end="0"/>
        <w:jc w:val="both"/>
        <w:rPr>
          <w:sz w:val="22"/>
        </w:rPr>
      </w:pPr>
      <w:r>
        <w:rPr>
          <w:sz w:val="22"/>
        </w:rPr>
      </w:r>
    </w:p>
    <w:p>
      <w:pPr>
        <w:pStyle w:val="Normal"/>
        <w:jc w:val="both"/>
        <w:rPr>
          <w:sz w:val="22"/>
        </w:rPr>
      </w:pPr>
      <w:r>
        <w:rPr>
          <w:sz w:val="22"/>
        </w:rPr>
        <w:t>a dual language requirement (English and Spanish) for “Your Rights as a Customer” disclosure, enrollment notification notices, and disconnection notices;</w:t>
      </w:r>
    </w:p>
    <w:p>
      <w:pPr>
        <w:pStyle w:val="Normal"/>
        <w:ind w:hanging="720" w:start="1440" w:end="0"/>
        <w:jc w:val="both"/>
        <w:rPr>
          <w:sz w:val="22"/>
        </w:rPr>
      </w:pPr>
      <w:r>
        <w:rPr>
          <w:sz w:val="22"/>
        </w:rPr>
      </w:r>
    </w:p>
    <w:p>
      <w:pPr>
        <w:pStyle w:val="BodyText2"/>
        <w:rPr/>
      </w:pPr>
      <w:r>
        <w:rPr/>
        <w:t>a REP selection form sent to all customers in connection with customer education;</w:t>
      </w:r>
    </w:p>
    <w:p>
      <w:pPr>
        <w:pStyle w:val="Normal"/>
        <w:ind w:hanging="720" w:start="1440" w:end="0"/>
        <w:jc w:val="both"/>
        <w:rPr>
          <w:sz w:val="22"/>
        </w:rPr>
      </w:pPr>
      <w:r>
        <w:rPr>
          <w:sz w:val="22"/>
        </w:rPr>
      </w:r>
    </w:p>
    <w:p>
      <w:pPr>
        <w:pStyle w:val="Normal"/>
        <w:jc w:val="both"/>
        <w:rPr>
          <w:sz w:val="22"/>
        </w:rPr>
      </w:pPr>
      <w:r>
        <w:rPr>
          <w:sz w:val="22"/>
        </w:rPr>
        <w:t>verification requirements, such as a Letter of Agency (LOA) or audio recording.  Internet sign-up is permitted;</w:t>
      </w:r>
    </w:p>
    <w:p>
      <w:pPr>
        <w:pStyle w:val="Normal"/>
        <w:ind w:hanging="720" w:start="720" w:end="0"/>
        <w:jc w:val="both"/>
        <w:rPr>
          <w:sz w:val="22"/>
        </w:rPr>
      </w:pPr>
      <w:r>
        <w:rPr>
          <w:sz w:val="22"/>
        </w:rPr>
        <w:t>a right of cancellation within 3 business days;</w:t>
      </w:r>
    </w:p>
    <w:p>
      <w:pPr>
        <w:pStyle w:val="Normal"/>
        <w:jc w:val="both"/>
        <w:rPr>
          <w:sz w:val="22"/>
        </w:rPr>
      </w:pPr>
      <w:r>
        <w:rPr>
          <w:sz w:val="22"/>
        </w:rPr>
      </w:r>
    </w:p>
    <w:p>
      <w:pPr>
        <w:pStyle w:val="Normal"/>
        <w:jc w:val="both"/>
        <w:rPr>
          <w:sz w:val="22"/>
        </w:rPr>
      </w:pPr>
      <w:r>
        <w:rPr>
          <w:sz w:val="22"/>
        </w:rPr>
        <w:t>information disclosures to residential and small commercial customers, including requirements for advertising and marketing materials, terms of service document, and an electricity facts label;</w:t>
      </w:r>
    </w:p>
    <w:p>
      <w:pPr>
        <w:pStyle w:val="Normal"/>
        <w:ind w:hanging="720" w:start="1440" w:end="0"/>
        <w:jc w:val="both"/>
        <w:rPr>
          <w:sz w:val="22"/>
        </w:rPr>
      </w:pPr>
      <w:r>
        <w:rPr>
          <w:sz w:val="22"/>
        </w:rPr>
      </w:r>
    </w:p>
    <w:p>
      <w:pPr>
        <w:pStyle w:val="BodyText2"/>
        <w:rPr/>
      </w:pPr>
      <w:r>
        <w:rPr/>
        <w:t>requirements governing the format and content of bills, the collection of deposits, and disconnection; and</w:t>
      </w:r>
    </w:p>
    <w:p>
      <w:pPr>
        <w:pStyle w:val="Normal"/>
        <w:jc w:val="both"/>
        <w:rPr>
          <w:sz w:val="22"/>
        </w:rPr>
      </w:pPr>
      <w:r>
        <w:rPr>
          <w:sz w:val="22"/>
        </w:rPr>
      </w:r>
    </w:p>
    <w:p>
      <w:pPr>
        <w:pStyle w:val="Normal"/>
        <w:jc w:val="both"/>
        <w:rPr>
          <w:sz w:val="22"/>
        </w:rPr>
      </w:pPr>
      <w:r>
        <w:rPr>
          <w:sz w:val="22"/>
        </w:rPr>
        <w:t>a requirement that all REPs offer levelized billing and deferred payment plans.</w:t>
      </w:r>
    </w:p>
    <w:p>
      <w:pPr>
        <w:pStyle w:val="BodyText"/>
        <w:rPr>
          <w:sz w:val="22"/>
        </w:rPr>
      </w:pPr>
      <w:r>
        <w:rPr>
          <w:sz w:val="22"/>
        </w:rPr>
      </w:r>
    </w:p>
    <w:p>
      <w:pPr>
        <w:pStyle w:val="Normal"/>
        <w:jc w:val="both"/>
        <w:rPr>
          <w:b/>
          <w:sz w:val="24"/>
          <w:u w:val="single"/>
        </w:rPr>
      </w:pPr>
      <w:r>
        <w:rPr>
          <w:b/>
          <w:sz w:val="24"/>
        </w:rPr>
        <w:t>F.</w:t>
        <w:tab/>
        <w:t>Pilot Projects:</w:t>
      </w:r>
    </w:p>
    <w:p>
      <w:pPr>
        <w:pStyle w:val="Normal"/>
        <w:jc w:val="both"/>
        <w:rPr>
          <w:b/>
          <w:sz w:val="24"/>
          <w:u w:val="single"/>
        </w:rPr>
      </w:pPr>
      <w:r>
        <w:rPr>
          <w:b/>
          <w:sz w:val="24"/>
          <w:u w:val="single"/>
        </w:rPr>
      </w:r>
    </w:p>
    <w:p>
      <w:pPr>
        <w:pStyle w:val="BodyText"/>
        <w:rPr>
          <w:b/>
        </w:rPr>
      </w:pPr>
      <w:r>
        <w:rPr>
          <w:b/>
        </w:rPr>
        <w:t>1.</w:t>
        <w:tab/>
        <w:t>Statutory requirements</w:t>
      </w:r>
    </w:p>
    <w:p>
      <w:pPr>
        <w:pStyle w:val="BodyText"/>
        <w:rPr>
          <w:b/>
        </w:rPr>
      </w:pPr>
      <w:r>
        <w:rPr>
          <w:b/>
        </w:rPr>
      </w:r>
    </w:p>
    <w:p>
      <w:pPr>
        <w:pStyle w:val="BodyText"/>
        <w:rPr>
          <w:sz w:val="22"/>
        </w:rPr>
      </w:pPr>
      <w:r>
        <w:rPr>
          <w:sz w:val="22"/>
        </w:rPr>
        <w:t>The Commission shall require each electric utility to offer customer choice to 5% of its load in this state beginning 6-1-2001.  The load designated for such early customer choice must be distributed among all customer classes.  20% of the load so designated shall initially be set aside for aggregated loads.</w:t>
      </w:r>
    </w:p>
    <w:p>
      <w:pPr>
        <w:pStyle w:val="BodyText"/>
        <w:rPr>
          <w:sz w:val="22"/>
        </w:rPr>
      </w:pPr>
      <w:r>
        <w:rPr>
          <w:sz w:val="22"/>
        </w:rPr>
      </w:r>
    </w:p>
    <w:p>
      <w:pPr>
        <w:pStyle w:val="BodyText"/>
        <w:rPr>
          <w:sz w:val="22"/>
        </w:rPr>
      </w:pPr>
      <w:r>
        <w:rPr>
          <w:sz w:val="22"/>
        </w:rPr>
        <w:t>Customers may purchase power from any REP certified by the Commission, other than the REP affiliated with the electric utility serving the area in which the customer is located.  The Commission may prescribe terms and conditions it considers necessary to prohibit anticompetitive practices and to encourage customer choice in such pilot programs.</w:t>
      </w:r>
    </w:p>
    <w:p>
      <w:pPr>
        <w:pStyle w:val="BodyText"/>
        <w:rPr>
          <w:sz w:val="22"/>
        </w:rPr>
      </w:pPr>
      <w:r>
        <w:rPr>
          <w:sz w:val="22"/>
        </w:rPr>
      </w:r>
    </w:p>
    <w:p>
      <w:pPr>
        <w:pStyle w:val="BodyText"/>
        <w:rPr>
          <w:b/>
        </w:rPr>
      </w:pPr>
      <w:r>
        <w:rPr>
          <w:b/>
        </w:rPr>
        <w:t>2.</w:t>
        <w:tab/>
        <w:t>The Rule</w:t>
      </w:r>
    </w:p>
    <w:p>
      <w:pPr>
        <w:pStyle w:val="BodyText"/>
        <w:rPr>
          <w:b/>
          <w:sz w:val="22"/>
        </w:rPr>
      </w:pPr>
      <w:r>
        <w:rPr>
          <w:b/>
          <w:sz w:val="22"/>
        </w:rPr>
      </w:r>
    </w:p>
    <w:p>
      <w:pPr>
        <w:pStyle w:val="BodyText"/>
        <w:rPr>
          <w:sz w:val="22"/>
        </w:rPr>
      </w:pPr>
      <w:r>
        <w:rPr>
          <w:sz w:val="22"/>
        </w:rPr>
        <w:t>This rule was the only restructuring rule developed pursuant to a negotiated rulemaking format.  The Commission engaged the University of Texas Center for Dispute Resolution to conduct the negotiations.</w:t>
      </w:r>
    </w:p>
    <w:p>
      <w:pPr>
        <w:pStyle w:val="BodyText"/>
        <w:rPr>
          <w:sz w:val="22"/>
        </w:rPr>
      </w:pPr>
      <w:r>
        <w:rPr>
          <w:sz w:val="22"/>
        </w:rPr>
      </w:r>
    </w:p>
    <w:p>
      <w:pPr>
        <w:pStyle w:val="BodyText"/>
        <w:rPr>
          <w:sz w:val="22"/>
        </w:rPr>
      </w:pPr>
      <w:r>
        <w:rPr>
          <w:sz w:val="22"/>
        </w:rPr>
        <w:t>The rule adopted by the Commission provides that:</w:t>
      </w:r>
    </w:p>
    <w:p>
      <w:pPr>
        <w:pStyle w:val="BodyText"/>
        <w:rPr>
          <w:sz w:val="22"/>
        </w:rPr>
      </w:pPr>
      <w:r>
        <w:rPr>
          <w:sz w:val="22"/>
        </w:rPr>
      </w:r>
    </w:p>
    <w:p>
      <w:pPr>
        <w:pStyle w:val="Normal"/>
        <w:jc w:val="both"/>
        <w:rPr>
          <w:sz w:val="22"/>
        </w:rPr>
      </w:pPr>
      <w:r>
        <w:rPr>
          <w:sz w:val="22"/>
        </w:rPr>
        <w:t>5% of the load in each customer class will be permitted to participate in each utility’s pilot.  The five classes are (a) residential, (b) non-residential, non-demand-metered, (c) industrial demand-metered, (d) commercial and all other demand-metered, and (e) other - seasonal, schools, unmetered;</w:t>
      </w:r>
    </w:p>
    <w:p>
      <w:pPr>
        <w:pStyle w:val="Normal"/>
        <w:ind w:hanging="720" w:start="1440" w:end="0"/>
        <w:jc w:val="both"/>
        <w:rPr>
          <w:sz w:val="22"/>
        </w:rPr>
      </w:pPr>
      <w:r>
        <w:rPr>
          <w:sz w:val="22"/>
        </w:rPr>
      </w:r>
    </w:p>
    <w:p>
      <w:pPr>
        <w:pStyle w:val="Normal"/>
        <w:jc w:val="both"/>
        <w:rPr>
          <w:sz w:val="22"/>
        </w:rPr>
      </w:pPr>
      <w:r>
        <w:rPr>
          <w:sz w:val="22"/>
        </w:rPr>
        <w:t>residential customers will be allowed to participate on a first-come, first-served basis, while non-residential customers will be subject to a lottery with respect to any customer class that is oversubscribed;</w:t>
      </w:r>
    </w:p>
    <w:p>
      <w:pPr>
        <w:pStyle w:val="Normal"/>
        <w:jc w:val="both"/>
        <w:rPr>
          <w:sz w:val="22"/>
        </w:rPr>
      </w:pPr>
      <w:r>
        <w:rPr>
          <w:sz w:val="22"/>
        </w:rPr>
      </w:r>
    </w:p>
    <w:p>
      <w:pPr>
        <w:pStyle w:val="Normal"/>
        <w:jc w:val="both"/>
        <w:rPr>
          <w:sz w:val="22"/>
        </w:rPr>
      </w:pPr>
      <w:r>
        <w:rPr>
          <w:sz w:val="22"/>
        </w:rPr>
        <w:t>the utilities shall make filings with respect to the number of eligible customers in each class by Jan. 31, 2001, and an open interest period will be in effect from Feb. 1, 2001 through Mar. 15, 2001;</w:t>
      </w:r>
    </w:p>
    <w:p>
      <w:pPr>
        <w:pStyle w:val="Normal"/>
        <w:ind w:start="1440" w:end="0"/>
        <w:jc w:val="both"/>
        <w:rPr>
          <w:sz w:val="22"/>
        </w:rPr>
      </w:pPr>
      <w:r>
        <w:rPr>
          <w:sz w:val="22"/>
        </w:rPr>
      </w:r>
    </w:p>
    <w:p>
      <w:pPr>
        <w:pStyle w:val="Normal"/>
        <w:jc w:val="both"/>
        <w:rPr>
          <w:sz w:val="22"/>
        </w:rPr>
      </w:pPr>
      <w:r>
        <w:rPr>
          <w:sz w:val="22"/>
        </w:rPr>
        <w:t>REPs participating in the pilots will be assessed interim, non-bypassable charges not subject to surcharges or refunds.</w:t>
      </w:r>
    </w:p>
    <w:p>
      <w:pPr>
        <w:pStyle w:val="BodyText"/>
        <w:rPr>
          <w:sz w:val="22"/>
        </w:rPr>
      </w:pPr>
      <w:r>
        <w:rPr>
          <w:sz w:val="22"/>
        </w:rPr>
      </w:r>
    </w:p>
    <w:p>
      <w:pPr>
        <w:pStyle w:val="Normal"/>
        <w:ind w:hanging="720" w:start="720" w:end="0"/>
        <w:jc w:val="both"/>
        <w:rPr>
          <w:b/>
          <w:sz w:val="24"/>
        </w:rPr>
      </w:pPr>
      <w:r>
        <w:rPr>
          <w:b/>
          <w:sz w:val="24"/>
        </w:rPr>
        <w:t>G.</w:t>
        <w:tab/>
        <w:t>Certification of REPs and Registration of PGCs and Aggregators</w:t>
      </w:r>
    </w:p>
    <w:p>
      <w:pPr>
        <w:pStyle w:val="Normal"/>
        <w:ind w:start="1440" w:end="0"/>
        <w:jc w:val="both"/>
        <w:rPr>
          <w:b/>
          <w:sz w:val="28"/>
        </w:rPr>
      </w:pPr>
      <w:r>
        <w:rPr>
          <w:b/>
          <w:sz w:val="28"/>
        </w:rPr>
      </w:r>
    </w:p>
    <w:p>
      <w:pPr>
        <w:pStyle w:val="BodyText"/>
        <w:rPr>
          <w:b/>
        </w:rPr>
      </w:pPr>
      <w:r>
        <w:rPr>
          <w:b/>
        </w:rPr>
        <w:t>1.</w:t>
        <w:tab/>
        <w:t>Statutory Requirements</w:t>
      </w:r>
    </w:p>
    <w:p>
      <w:pPr>
        <w:pStyle w:val="BodyText"/>
        <w:rPr>
          <w:b/>
        </w:rPr>
      </w:pPr>
      <w:r>
        <w:rPr>
          <w:b/>
        </w:rPr>
      </w:r>
    </w:p>
    <w:p>
      <w:pPr>
        <w:pStyle w:val="BodyText"/>
        <w:rPr>
          <w:b/>
          <w:sz w:val="22"/>
        </w:rPr>
      </w:pPr>
      <w:r>
        <w:rPr>
          <w:b/>
          <w:sz w:val="22"/>
        </w:rPr>
        <w:t>a.</w:t>
        <w:tab/>
        <w:t xml:space="preserve">Registration of PGCs </w:t>
      </w:r>
    </w:p>
    <w:p>
      <w:pPr>
        <w:pStyle w:val="BodyText"/>
        <w:rPr>
          <w:b/>
          <w:sz w:val="22"/>
          <w:u w:val="single"/>
        </w:rPr>
      </w:pPr>
      <w:r>
        <w:rPr>
          <w:b/>
          <w:sz w:val="22"/>
          <w:u w:val="single"/>
        </w:rPr>
      </w:r>
    </w:p>
    <w:p>
      <w:pPr>
        <w:pStyle w:val="BodyText"/>
        <w:rPr>
          <w:sz w:val="22"/>
        </w:rPr>
      </w:pPr>
      <w:r>
        <w:rPr>
          <w:sz w:val="22"/>
        </w:rPr>
        <w:t>A person may not generate electricity unless the person is registered with the Commission as a PGC. A PGC must comply with the reliability standards of the ISO.</w:t>
      </w:r>
    </w:p>
    <w:p>
      <w:pPr>
        <w:pStyle w:val="BodyText"/>
        <w:rPr>
          <w:sz w:val="22"/>
        </w:rPr>
      </w:pPr>
      <w:r>
        <w:rPr>
          <w:sz w:val="22"/>
        </w:rPr>
      </w:r>
    </w:p>
    <w:p>
      <w:pPr>
        <w:pStyle w:val="BodyText"/>
        <w:rPr>
          <w:sz w:val="22"/>
        </w:rPr>
      </w:pPr>
      <w:r>
        <w:rPr>
          <w:sz w:val="22"/>
        </w:rPr>
        <w:t>A PGC may register at any time after 9-1-2000.  A registrant must file the following information with the Commission:</w:t>
      </w:r>
    </w:p>
    <w:p>
      <w:pPr>
        <w:pStyle w:val="BodyText"/>
        <w:rPr>
          <w:sz w:val="22"/>
        </w:rPr>
      </w:pPr>
      <w:r>
        <w:rPr>
          <w:sz w:val="22"/>
        </w:rPr>
      </w:r>
    </w:p>
    <w:p>
      <w:pPr>
        <w:pStyle w:val="BodyText"/>
        <w:rPr>
          <w:sz w:val="22"/>
        </w:rPr>
      </w:pPr>
      <w:r>
        <w:rPr>
          <w:sz w:val="22"/>
        </w:rPr>
        <w:t>a description of the location of any facility used to generate electricity;</w:t>
      </w:r>
    </w:p>
    <w:p>
      <w:pPr>
        <w:pStyle w:val="BodyText"/>
        <w:rPr>
          <w:sz w:val="22"/>
        </w:rPr>
      </w:pPr>
      <w:r>
        <w:rPr>
          <w:sz w:val="22"/>
        </w:rPr>
        <w:tab/>
      </w:r>
    </w:p>
    <w:p>
      <w:pPr>
        <w:pStyle w:val="BodyText"/>
        <w:rPr>
          <w:sz w:val="22"/>
        </w:rPr>
      </w:pPr>
      <w:r>
        <w:rPr>
          <w:sz w:val="22"/>
        </w:rPr>
        <w:t>a description of the type of services provided;</w:t>
      </w:r>
    </w:p>
    <w:p>
      <w:pPr>
        <w:pStyle w:val="BodyText"/>
        <w:rPr>
          <w:sz w:val="22"/>
        </w:rPr>
      </w:pPr>
      <w:r>
        <w:rPr>
          <w:sz w:val="22"/>
        </w:rPr>
        <w:tab/>
        <w:tab/>
      </w:r>
    </w:p>
    <w:p>
      <w:pPr>
        <w:pStyle w:val="BodyText"/>
        <w:rPr>
          <w:sz w:val="22"/>
        </w:rPr>
      </w:pPr>
      <w:r>
        <w:rPr>
          <w:sz w:val="22"/>
        </w:rPr>
        <w:t>a copy of any information filed with the FERC in connection with registration with that commission; and</w:t>
      </w:r>
    </w:p>
    <w:p>
      <w:pPr>
        <w:pStyle w:val="BodyText"/>
        <w:rPr>
          <w:sz w:val="22"/>
        </w:rPr>
      </w:pPr>
      <w:r>
        <w:rPr>
          <w:sz w:val="22"/>
        </w:rPr>
      </w:r>
    </w:p>
    <w:p>
      <w:pPr>
        <w:pStyle w:val="BodyText"/>
        <w:rPr>
          <w:sz w:val="22"/>
        </w:rPr>
      </w:pPr>
      <w:r>
        <w:rPr>
          <w:sz w:val="22"/>
        </w:rPr>
        <w:t>any other information required by Commission rule.  In requiring such information the Commission must protect the competitive process in a manner that ensures the confidentiality of competitively sensitive information.</w:t>
      </w:r>
    </w:p>
    <w:p>
      <w:pPr>
        <w:pStyle w:val="BodyText"/>
        <w:rPr>
          <w:sz w:val="22"/>
        </w:rPr>
      </w:pPr>
      <w:r>
        <w:rPr>
          <w:sz w:val="22"/>
        </w:rPr>
      </w:r>
    </w:p>
    <w:p>
      <w:pPr>
        <w:pStyle w:val="BodyText"/>
        <w:ind w:hanging="720" w:start="720" w:end="0"/>
        <w:rPr>
          <w:b/>
          <w:sz w:val="22"/>
        </w:rPr>
      </w:pPr>
      <w:r>
        <w:rPr>
          <w:b/>
          <w:sz w:val="22"/>
        </w:rPr>
        <w:t>b.</w:t>
        <w:tab/>
        <w:t>Certification of Retail Electric Providers</w:t>
      </w:r>
    </w:p>
    <w:p>
      <w:pPr>
        <w:pStyle w:val="BodyText"/>
        <w:rPr>
          <w:b/>
          <w:sz w:val="22"/>
          <w:u w:val="single"/>
        </w:rPr>
      </w:pPr>
      <w:r>
        <w:rPr>
          <w:b/>
          <w:sz w:val="22"/>
          <w:u w:val="single"/>
        </w:rPr>
      </w:r>
    </w:p>
    <w:p>
      <w:pPr>
        <w:pStyle w:val="BodyText"/>
        <w:rPr>
          <w:sz w:val="22"/>
        </w:rPr>
      </w:pPr>
      <w:r>
        <w:rPr>
          <w:sz w:val="22"/>
        </w:rPr>
        <w:t>After the date of customer choice, a person may not provide retail electric service in this state unless the person is certified by the Commission as a REP.  A REP may apply for certification any time after 9-1-2000.</w:t>
      </w:r>
    </w:p>
    <w:p>
      <w:pPr>
        <w:pStyle w:val="BodyText"/>
        <w:rPr>
          <w:sz w:val="22"/>
        </w:rPr>
      </w:pPr>
      <w:r>
        <w:rPr>
          <w:sz w:val="22"/>
        </w:rPr>
      </w:r>
    </w:p>
    <w:p>
      <w:pPr>
        <w:pStyle w:val="BodyText"/>
        <w:rPr>
          <w:sz w:val="22"/>
        </w:rPr>
      </w:pPr>
      <w:r>
        <w:rPr>
          <w:sz w:val="22"/>
        </w:rPr>
        <w:t>The Commission shall certify as a REP any person who applies for certification who demonstrates:</w:t>
      </w:r>
    </w:p>
    <w:p>
      <w:pPr>
        <w:pStyle w:val="BodyText"/>
        <w:rPr>
          <w:sz w:val="22"/>
        </w:rPr>
      </w:pPr>
      <w:r>
        <w:rPr>
          <w:sz w:val="22"/>
        </w:rPr>
      </w:r>
    </w:p>
    <w:p>
      <w:pPr>
        <w:pStyle w:val="BodyText"/>
        <w:rPr>
          <w:sz w:val="22"/>
        </w:rPr>
      </w:pPr>
      <w:r>
        <w:rPr>
          <w:sz w:val="22"/>
        </w:rPr>
        <w:t>the financial and technical resources to provide continuous and reliable electric service to customers in the area in which certification is sought;</w:t>
      </w:r>
    </w:p>
    <w:p>
      <w:pPr>
        <w:pStyle w:val="BodyText"/>
        <w:rPr>
          <w:sz w:val="22"/>
        </w:rPr>
      </w:pPr>
      <w:r>
        <w:rPr>
          <w:sz w:val="22"/>
        </w:rPr>
      </w:r>
    </w:p>
    <w:p>
      <w:pPr>
        <w:pStyle w:val="BodyText"/>
        <w:rPr>
          <w:sz w:val="22"/>
        </w:rPr>
      </w:pPr>
      <w:r>
        <w:rPr>
          <w:sz w:val="22"/>
        </w:rPr>
        <w:t>the managerial and technical ability to supply electricity at retail in accordance with customer contracts;</w:t>
      </w:r>
    </w:p>
    <w:p>
      <w:pPr>
        <w:pStyle w:val="BodyText"/>
        <w:rPr>
          <w:sz w:val="22"/>
        </w:rPr>
      </w:pPr>
      <w:r>
        <w:rPr>
          <w:sz w:val="22"/>
        </w:rPr>
      </w:r>
    </w:p>
    <w:p>
      <w:pPr>
        <w:pStyle w:val="BodyText"/>
        <w:rPr>
          <w:sz w:val="22"/>
        </w:rPr>
      </w:pPr>
      <w:r>
        <w:rPr>
          <w:sz w:val="22"/>
        </w:rPr>
        <w:t>the resources needed to meet customer protection requirements; and</w:t>
      </w:r>
    </w:p>
    <w:p>
      <w:pPr>
        <w:pStyle w:val="BodyText"/>
        <w:rPr>
          <w:sz w:val="22"/>
        </w:rPr>
      </w:pPr>
      <w:r>
        <w:rPr>
          <w:sz w:val="22"/>
        </w:rPr>
      </w:r>
    </w:p>
    <w:p>
      <w:pPr>
        <w:pStyle w:val="BodyText"/>
        <w:rPr>
          <w:sz w:val="22"/>
        </w:rPr>
      </w:pPr>
      <w:r>
        <w:rPr>
          <w:sz w:val="22"/>
        </w:rPr>
        <w:t>ownership or lease of an office located within this state for the purpose of providing customer service, accepting service of process, and making available in such office its books and records.</w:t>
      </w:r>
    </w:p>
    <w:p>
      <w:pPr>
        <w:pStyle w:val="BodyText"/>
        <w:rPr>
          <w:sz w:val="22"/>
        </w:rPr>
      </w:pPr>
      <w:r>
        <w:rPr>
          <w:sz w:val="22"/>
        </w:rPr>
      </w:r>
    </w:p>
    <w:p>
      <w:pPr>
        <w:pStyle w:val="BodyText"/>
        <w:rPr>
          <w:sz w:val="22"/>
        </w:rPr>
      </w:pPr>
      <w:r>
        <w:rPr>
          <w:sz w:val="22"/>
        </w:rPr>
        <w:t>A REP must comply with all applicable customer protection provisions, disclosure requirements, and marketing guidelines established by the Commission and included in PURA.  The Commission is required to use any information it obtains from a REP in accordance with this section in a manner that ensures the confidentiality of competitively sensitive information.</w:t>
      </w:r>
    </w:p>
    <w:p>
      <w:pPr>
        <w:pStyle w:val="BodyText"/>
        <w:rPr>
          <w:sz w:val="22"/>
        </w:rPr>
      </w:pPr>
      <w:r>
        <w:rPr>
          <w:sz w:val="22"/>
        </w:rPr>
      </w:r>
    </w:p>
    <w:p>
      <w:pPr>
        <w:pStyle w:val="BodyText"/>
        <w:rPr>
          <w:sz w:val="22"/>
        </w:rPr>
      </w:pPr>
      <w:r>
        <w:rPr>
          <w:sz w:val="22"/>
        </w:rPr>
        <w:t>If a REP files with the Commission a signed, notarized affidavit from each retail customer with which it has contracted to provide one megawatt or more of capacity stating that the customer is satisfied that the REP meets the standards prescribed above, the REP shall be certified for purposes of serving those customers only, so long as it maintains as office in this state.</w:t>
      </w:r>
    </w:p>
    <w:p>
      <w:pPr>
        <w:pStyle w:val="BodyText"/>
        <w:rPr>
          <w:sz w:val="22"/>
        </w:rPr>
      </w:pPr>
      <w:r>
        <w:rPr>
          <w:sz w:val="22"/>
        </w:rPr>
      </w:r>
    </w:p>
    <w:p>
      <w:pPr>
        <w:pStyle w:val="BodyText"/>
        <w:rPr>
          <w:sz w:val="22"/>
        </w:rPr>
      </w:pPr>
      <w:r>
        <w:rPr>
          <w:sz w:val="22"/>
        </w:rPr>
        <w:t>If a REP serves an aggregate load in excess of 300 MW in this state, at least 5% of the load in MWHs must consist of residential customers.  Load served by REPs under common ownership will be combined for purposes of meeting this requirement, and the requirement applies to REPs affiliated with a transmission and distribution utility only for load served outside of the transmission and distribution utility’s service area.  A REP may meet this requirement by (a) demonstrating on an annual basis that another REP serves sufficient qualifying residential load on its behalf, or (b) paying an amount into the system benefit fund equal to $1 multiplied by a number equal to the difference between the number of MWHs it sold to residential customers and the number of MWHs it was required to sell to such customers.  Each REP must file reports with the Commission, and the Commission shall adopt rules  necessary to implement this section.  This requirement applies for 36 months after retail competition begins.</w:t>
      </w:r>
    </w:p>
    <w:p>
      <w:pPr>
        <w:pStyle w:val="BodyText"/>
        <w:rPr>
          <w:sz w:val="22"/>
        </w:rPr>
      </w:pPr>
      <w:r>
        <w:rPr>
          <w:sz w:val="22"/>
        </w:rPr>
      </w:r>
    </w:p>
    <w:p>
      <w:pPr>
        <w:pStyle w:val="BodyText"/>
        <w:rPr>
          <w:sz w:val="22"/>
        </w:rPr>
      </w:pPr>
      <w:r>
        <w:rPr>
          <w:sz w:val="22"/>
        </w:rPr>
        <w:t>A municipality may require a REP to register with the municipality as a condition of serving residents of the municipality, and may assess an administrative fee for this purpose.  The municipality may suspend or revoke a REP’s registration and operation in that municipality for significant violations of PURA or the rules adopted thereunder.</w:t>
      </w:r>
    </w:p>
    <w:p>
      <w:pPr>
        <w:pStyle w:val="BodyText"/>
        <w:rPr>
          <w:sz w:val="22"/>
        </w:rPr>
      </w:pPr>
      <w:r>
        <w:rPr>
          <w:sz w:val="22"/>
        </w:rPr>
      </w:r>
    </w:p>
    <w:p>
      <w:pPr>
        <w:pStyle w:val="BodyText"/>
        <w:rPr>
          <w:b/>
          <w:sz w:val="22"/>
        </w:rPr>
      </w:pPr>
      <w:r>
        <w:rPr>
          <w:b/>
          <w:sz w:val="22"/>
        </w:rPr>
        <w:t>c.</w:t>
        <w:tab/>
        <w:t xml:space="preserve">Registration of Aggregators  </w:t>
      </w:r>
    </w:p>
    <w:p>
      <w:pPr>
        <w:pStyle w:val="BodyText"/>
        <w:rPr>
          <w:b/>
          <w:sz w:val="22"/>
          <w:u w:val="single"/>
        </w:rPr>
      </w:pPr>
      <w:r>
        <w:rPr>
          <w:b/>
          <w:sz w:val="22"/>
          <w:u w:val="single"/>
        </w:rPr>
      </w:r>
    </w:p>
    <w:p>
      <w:pPr>
        <w:pStyle w:val="BodyText"/>
        <w:rPr>
          <w:sz w:val="22"/>
        </w:rPr>
      </w:pPr>
      <w:r>
        <w:rPr>
          <w:sz w:val="22"/>
        </w:rPr>
        <w:t>A person may not provide aggregation services in this state unless the person is registered with the Commission as an aggregator.  An aggregator joins two or more customers, other than municipalities and political subdivisions, into a single purchasing unit to negotiate the purchase of electricity from REPs.  Aggregators may not sell or take title to electricity.  REPs are not aggregators.</w:t>
      </w:r>
    </w:p>
    <w:p>
      <w:pPr>
        <w:pStyle w:val="BodyText"/>
        <w:rPr>
          <w:sz w:val="22"/>
        </w:rPr>
      </w:pPr>
      <w:r>
        <w:rPr>
          <w:sz w:val="22"/>
        </w:rPr>
      </w:r>
    </w:p>
    <w:p>
      <w:pPr>
        <w:pStyle w:val="BodyText"/>
        <w:rPr>
          <w:sz w:val="22"/>
        </w:rPr>
      </w:pPr>
      <w:r>
        <w:rPr>
          <w:sz w:val="22"/>
        </w:rPr>
        <w:t>Aggregators may register at any time after 9-1-2000, and must comply with all customer protection provisions, all disclosure requirements and all marketing guidelines established by the Commission and included in PURA.  The Commission must process applications for registration by aggregators within 60 days.  A customer that is aggregating loads from its own locations or facilities does not have to register as an aggregator.</w:t>
      </w:r>
    </w:p>
    <w:p>
      <w:pPr>
        <w:pStyle w:val="BodyText"/>
        <w:rPr>
          <w:sz w:val="22"/>
        </w:rPr>
      </w:pPr>
      <w:r>
        <w:rPr>
          <w:sz w:val="22"/>
        </w:rPr>
      </w:r>
    </w:p>
    <w:p>
      <w:pPr>
        <w:pStyle w:val="BodyText"/>
        <w:rPr>
          <w:sz w:val="22"/>
        </w:rPr>
      </w:pPr>
      <w:r>
        <w:rPr>
          <w:sz w:val="22"/>
        </w:rPr>
        <w:t>By 6-1-2000, the Commission must establish the terms and conditions it determines necessary to regulate the reliability and integrity of aggregators in this state.</w:t>
      </w:r>
    </w:p>
    <w:p>
      <w:pPr>
        <w:pStyle w:val="BodyText"/>
        <w:rPr>
          <w:sz w:val="22"/>
        </w:rPr>
      </w:pPr>
      <w:r>
        <w:rPr>
          <w:sz w:val="22"/>
        </w:rPr>
      </w:r>
    </w:p>
    <w:p>
      <w:pPr>
        <w:pStyle w:val="BodyText"/>
        <w:rPr>
          <w:b/>
          <w:sz w:val="22"/>
        </w:rPr>
      </w:pPr>
      <w:r>
        <w:rPr>
          <w:b/>
          <w:sz w:val="22"/>
        </w:rPr>
        <w:t>d.</w:t>
        <w:tab/>
        <w:t xml:space="preserve">Revocation of Certification </w:t>
      </w:r>
    </w:p>
    <w:p>
      <w:pPr>
        <w:pStyle w:val="BodyText"/>
        <w:rPr>
          <w:b/>
          <w:sz w:val="22"/>
          <w:u w:val="single"/>
        </w:rPr>
      </w:pPr>
      <w:r>
        <w:rPr>
          <w:b/>
          <w:sz w:val="22"/>
          <w:u w:val="single"/>
        </w:rPr>
      </w:r>
    </w:p>
    <w:p>
      <w:pPr>
        <w:pStyle w:val="BodyText"/>
        <w:rPr>
          <w:sz w:val="22"/>
        </w:rPr>
      </w:pPr>
      <w:r>
        <w:rPr>
          <w:sz w:val="22"/>
        </w:rPr>
        <w:t>The Commission may suspend, revoke or amend a REP’s certificate for significant violations of PURA or of any reliability standard adopted by the ISO, including the failure to observe any scheduling, operating, planning, reliability, or settlement protocols established by the ISO.  A REP’s certificate may also be suspended or revoked if the REP no longer has the financial or technical capability to provide continuous and reliable electric service.</w:t>
      </w:r>
    </w:p>
    <w:p>
      <w:pPr>
        <w:pStyle w:val="BodyText"/>
        <w:rPr>
          <w:sz w:val="22"/>
        </w:rPr>
      </w:pPr>
      <w:r>
        <w:rPr>
          <w:sz w:val="22"/>
        </w:rPr>
        <w:tab/>
        <w:tab/>
      </w:r>
    </w:p>
    <w:p>
      <w:pPr>
        <w:pStyle w:val="BodyText"/>
        <w:rPr>
          <w:sz w:val="22"/>
        </w:rPr>
      </w:pPr>
      <w:r>
        <w:rPr>
          <w:sz w:val="22"/>
        </w:rPr>
        <w:t>The Commission may suspend or revoke a PGC’s registration for significant violations of PURA or the rules adopted thereunder or the reliability standards adopted by the ISO, including the failure to observe any scheduling, operating, planning, reliability, or settlement protocols established by the ISO.</w:t>
      </w:r>
    </w:p>
    <w:p>
      <w:pPr>
        <w:pStyle w:val="BodyText"/>
        <w:rPr>
          <w:sz w:val="22"/>
        </w:rPr>
      </w:pPr>
      <w:r>
        <w:rPr>
          <w:sz w:val="22"/>
        </w:rPr>
      </w:r>
    </w:p>
    <w:p>
      <w:pPr>
        <w:pStyle w:val="BodyText"/>
        <w:rPr>
          <w:sz w:val="22"/>
        </w:rPr>
      </w:pPr>
      <w:r>
        <w:rPr>
          <w:sz w:val="22"/>
        </w:rPr>
        <w:t>The Commission may suspend or revoke an aggregator’s registration for significant violations of PURA or the rules adopted thereunder.</w:t>
      </w:r>
    </w:p>
    <w:p>
      <w:pPr>
        <w:pStyle w:val="BodyText"/>
        <w:rPr>
          <w:sz w:val="22"/>
        </w:rPr>
      </w:pPr>
      <w:r>
        <w:rPr>
          <w:sz w:val="22"/>
        </w:rPr>
      </w:r>
    </w:p>
    <w:p>
      <w:pPr>
        <w:pStyle w:val="BodyText"/>
        <w:rPr>
          <w:sz w:val="22"/>
        </w:rPr>
      </w:pPr>
      <w:r>
        <w:rPr>
          <w:sz w:val="22"/>
        </w:rPr>
        <w:t>In addition to the suspension, revocation, or amendment of a certification, the Commission may impose an administrative penalty for violations described above.</w:t>
      </w:r>
    </w:p>
    <w:p>
      <w:pPr>
        <w:pStyle w:val="BodyText"/>
        <w:rPr>
          <w:sz w:val="22"/>
        </w:rPr>
      </w:pPr>
      <w:r>
        <w:rPr>
          <w:sz w:val="22"/>
        </w:rPr>
      </w:r>
    </w:p>
    <w:p>
      <w:pPr>
        <w:pStyle w:val="BodyText"/>
        <w:rPr>
          <w:b/>
        </w:rPr>
      </w:pPr>
      <w:r>
        <w:rPr>
          <w:b/>
        </w:rPr>
        <w:t>2.</w:t>
        <w:tab/>
        <w:t>The Rule for Certifying REPs</w:t>
      </w:r>
    </w:p>
    <w:p>
      <w:pPr>
        <w:pStyle w:val="Normal"/>
        <w:jc w:val="both"/>
        <w:rPr>
          <w:b/>
          <w:sz w:val="22"/>
        </w:rPr>
      </w:pPr>
      <w:r>
        <w:rPr>
          <w:b/>
          <w:sz w:val="22"/>
        </w:rPr>
      </w:r>
    </w:p>
    <w:p>
      <w:pPr>
        <w:pStyle w:val="Normal"/>
        <w:jc w:val="both"/>
        <w:rPr>
          <w:sz w:val="22"/>
        </w:rPr>
      </w:pPr>
      <w:r>
        <w:rPr>
          <w:sz w:val="22"/>
        </w:rPr>
        <w:t xml:space="preserve">The rule applicable to REPs permits the REP to designate the area the REPs intends to serve, or the REP may choose to provide instead a list of its customers.  </w:t>
      </w:r>
    </w:p>
    <w:p>
      <w:pPr>
        <w:pStyle w:val="Normal"/>
        <w:jc w:val="both"/>
        <w:rPr>
          <w:sz w:val="22"/>
        </w:rPr>
      </w:pPr>
      <w:r>
        <w:rPr>
          <w:sz w:val="22"/>
        </w:rPr>
        <w:t>The rule sets out the financial, technical and managerial standards that a prospective REP must meet, including an investment grade credit rating, assets in excess of liabilities (i.e. equity of at least $50M), or unused cash resources of at least $100,000 (for up to $250,000 of monthly billings).  A utility may not impose other credit standards, unless the REP defaults.  Evidence of unused cash resources may include cash, letter of credit, affiliate loan, guaranty, unencumbered resources, or the investment grade credit rating of the REP or an affiliate or another company.  Separate financial standards are included in the rule covering customer deposits.</w:t>
      </w:r>
    </w:p>
    <w:p>
      <w:pPr>
        <w:pStyle w:val="Normal"/>
        <w:jc w:val="both"/>
        <w:rPr>
          <w:sz w:val="22"/>
        </w:rPr>
      </w:pPr>
      <w:r>
        <w:rPr>
          <w:sz w:val="22"/>
        </w:rPr>
      </w:r>
    </w:p>
    <w:p>
      <w:pPr>
        <w:pStyle w:val="Normal"/>
        <w:jc w:val="both"/>
        <w:rPr>
          <w:sz w:val="22"/>
        </w:rPr>
      </w:pPr>
      <w:r>
        <w:rPr>
          <w:sz w:val="22"/>
        </w:rPr>
        <w:t>The rule requires capability to comply with the operating procedures of the independent organization, and evidence that the REP has or plans to purchase of capacity and ancillary services to adequately serve its customers.  The REP must also show that it has adequate staffing, experience, and training, including the capability to relay outage reports to the T&amp;D utility on a 24-hour basis.  The REP must attach a customer service plan to its application.</w:t>
      </w:r>
    </w:p>
    <w:p>
      <w:pPr>
        <w:pStyle w:val="Normal"/>
        <w:ind w:start="2160" w:end="0"/>
        <w:jc w:val="both"/>
        <w:rPr>
          <w:sz w:val="22"/>
        </w:rPr>
      </w:pPr>
      <w:r>
        <w:rPr>
          <w:sz w:val="22"/>
        </w:rPr>
      </w:r>
    </w:p>
    <w:p>
      <w:pPr>
        <w:pStyle w:val="Normal"/>
        <w:jc w:val="both"/>
        <w:rPr>
          <w:sz w:val="22"/>
        </w:rPr>
      </w:pPr>
      <w:r>
        <w:rPr>
          <w:sz w:val="22"/>
        </w:rPr>
        <w:t>These technical and managerial requirements may be met by affidavit initially, but evidence must be submitted to the Commission within 21 days of providing service.</w:t>
      </w:r>
    </w:p>
    <w:p>
      <w:pPr>
        <w:pStyle w:val="Normal"/>
        <w:jc w:val="both"/>
        <w:rPr>
          <w:sz w:val="22"/>
        </w:rPr>
      </w:pPr>
      <w:r>
        <w:rPr>
          <w:sz w:val="22"/>
        </w:rPr>
      </w:r>
    </w:p>
    <w:p>
      <w:pPr>
        <w:pStyle w:val="Normal"/>
        <w:jc w:val="both"/>
        <w:rPr>
          <w:b/>
          <w:sz w:val="24"/>
        </w:rPr>
      </w:pPr>
      <w:r>
        <w:rPr>
          <w:b/>
          <w:sz w:val="24"/>
        </w:rPr>
        <w:t>H.</w:t>
        <w:tab/>
        <w:t xml:space="preserve">Market Power   </w:t>
      </w:r>
    </w:p>
    <w:p>
      <w:pPr>
        <w:pStyle w:val="Normal"/>
        <w:ind w:start="1440" w:end="0"/>
        <w:jc w:val="both"/>
        <w:rPr>
          <w:b/>
          <w:sz w:val="28"/>
        </w:rPr>
      </w:pPr>
      <w:r>
        <w:rPr>
          <w:b/>
          <w:sz w:val="28"/>
        </w:rPr>
      </w:r>
    </w:p>
    <w:p>
      <w:pPr>
        <w:pStyle w:val="BodyText"/>
        <w:rPr>
          <w:b/>
        </w:rPr>
      </w:pPr>
      <w:r>
        <w:rPr>
          <w:b/>
        </w:rPr>
        <w:t>1.</w:t>
        <w:tab/>
        <w:t>Market Power Mitigation Plans</w:t>
      </w:r>
    </w:p>
    <w:p>
      <w:pPr>
        <w:pStyle w:val="BodyText"/>
        <w:rPr>
          <w:b/>
        </w:rPr>
      </w:pPr>
      <w:r>
        <w:rPr>
          <w:b/>
        </w:rPr>
      </w:r>
    </w:p>
    <w:p>
      <w:pPr>
        <w:pStyle w:val="BodyText"/>
        <w:rPr>
          <w:sz w:val="22"/>
        </w:rPr>
      </w:pPr>
      <w:r>
        <w:rPr>
          <w:sz w:val="22"/>
        </w:rPr>
        <w:t>PURA requires that an electric utility or PGC that owns and controls more than 20% of the installed generation capacity in a power region (net of the generation capacity subject to the auction described below) must submit a market power mitigation plan to the Commission.  The plan may provide for the sale or exchange of generation assets, the auctioning of generation capacity entitlements, the sale of the right to capacity for at least four years, or any other reasonable method of mitigation.</w:t>
      </w:r>
    </w:p>
    <w:p>
      <w:pPr>
        <w:pStyle w:val="BodyText"/>
        <w:rPr>
          <w:sz w:val="22"/>
        </w:rPr>
      </w:pPr>
      <w:r>
        <w:rPr>
          <w:sz w:val="22"/>
        </w:rPr>
      </w:r>
    </w:p>
    <w:p>
      <w:pPr>
        <w:pStyle w:val="BodyText"/>
        <w:rPr/>
      </w:pPr>
      <w:r>
        <w:rPr>
          <w:sz w:val="22"/>
        </w:rPr>
        <w:t xml:space="preserve">All generators in the state capable of providing power to the grid must file annual reports with the Commission showing, </w:t>
      </w:r>
      <w:r>
        <w:rPr>
          <w:i/>
          <w:sz w:val="22"/>
        </w:rPr>
        <w:t>inter alia</w:t>
      </w:r>
      <w:r>
        <w:rPr>
          <w:sz w:val="22"/>
        </w:rPr>
        <w:t>, the nameplate capacity of each generating unit.  The Commission is required to monitor market shares of installed capacity to ensure that the 20% limitation is not exceeded.  If the Commission finds that a company has exceeded the limitation, it must order the company to file a market power mitigation plan within 60 days.</w:t>
      </w:r>
    </w:p>
    <w:p>
      <w:pPr>
        <w:pStyle w:val="BodyText"/>
        <w:rPr>
          <w:sz w:val="22"/>
        </w:rPr>
      </w:pPr>
      <w:r>
        <w:rPr>
          <w:sz w:val="22"/>
        </w:rPr>
      </w:r>
    </w:p>
    <w:p>
      <w:pPr>
        <w:pStyle w:val="BodyText"/>
        <w:rPr>
          <w:sz w:val="22"/>
        </w:rPr>
      </w:pPr>
      <w:r>
        <w:rPr>
          <w:sz w:val="22"/>
        </w:rPr>
        <w:t>The Commission must approve, modify, or reject the plan within 180 days.  If the utility’s or PGC’s plan is not approved before January 1 of the year it is to take effect, the Commission may order the auction of generating capacity entitlements for all capacity exceeding the 20% limitation until such time as the plan is approved.</w:t>
      </w:r>
    </w:p>
    <w:p>
      <w:pPr>
        <w:pStyle w:val="BodyText"/>
        <w:rPr>
          <w:sz w:val="22"/>
        </w:rPr>
      </w:pPr>
      <w:r>
        <w:rPr>
          <w:sz w:val="22"/>
        </w:rPr>
      </w:r>
    </w:p>
    <w:p>
      <w:pPr>
        <w:pStyle w:val="BodyText"/>
        <w:rPr>
          <w:sz w:val="22"/>
        </w:rPr>
      </w:pPr>
      <w:r>
        <w:rPr>
          <w:sz w:val="22"/>
        </w:rPr>
        <w:t xml:space="preserve">Because capacity subject to the PURA-required auctions is not included in the 20% calculation, and because PURA permits utilities to exclude from the calculation capacity associated with grandfathered generating plants, TXU Electric and Reliant Energy (the two largest utilities in Texas, who together own over 60% of the generating capacity in the state), are considered to fall within the 20% "safe harbor."  </w:t>
      </w:r>
    </w:p>
    <w:p>
      <w:pPr>
        <w:pStyle w:val="BodyText"/>
        <w:rPr/>
      </w:pPr>
      <w:r>
        <w:rPr/>
      </w:r>
    </w:p>
    <w:p>
      <w:pPr>
        <w:pStyle w:val="BodyText"/>
        <w:ind w:hanging="720" w:start="720" w:end="0"/>
        <w:rPr>
          <w:b/>
        </w:rPr>
      </w:pPr>
      <w:r>
        <w:rPr>
          <w:b/>
        </w:rPr>
        <w:t>2.</w:t>
        <w:tab/>
        <w:t>PUC Authority to Address Market Power</w:t>
      </w:r>
    </w:p>
    <w:p>
      <w:pPr>
        <w:pStyle w:val="BodyText"/>
        <w:rPr>
          <w:b/>
        </w:rPr>
      </w:pPr>
      <w:r>
        <w:rPr>
          <w:b/>
        </w:rPr>
      </w:r>
    </w:p>
    <w:p>
      <w:pPr>
        <w:pStyle w:val="BodyText"/>
        <w:rPr>
          <w:sz w:val="22"/>
        </w:rPr>
      </w:pPr>
      <w:r>
        <w:rPr>
          <w:sz w:val="22"/>
        </w:rPr>
        <w:t>PURA defines “market power abuses” as “practices by persons possessing market power that are unreasonably discriminatory or tend to unreasonably restrict, impair, or reduce the level of competition, including practices that tie unregulated products or services to regulated products or services or unreasonably discriminate in the provision of regulated services.”  Market power abuses include predatory pricing, withholding of production, precluding entry, and collusion.  Violating a code of conduct in a manner that materially impairs the ability of a person to compete is an abuse of market power.</w:t>
      </w:r>
    </w:p>
    <w:p>
      <w:pPr>
        <w:pStyle w:val="BodyText"/>
        <w:rPr>
          <w:sz w:val="22"/>
        </w:rPr>
      </w:pPr>
      <w:r>
        <w:rPr>
          <w:sz w:val="22"/>
        </w:rPr>
      </w:r>
    </w:p>
    <w:p>
      <w:pPr>
        <w:pStyle w:val="BodyText"/>
        <w:rPr>
          <w:sz w:val="22"/>
        </w:rPr>
      </w:pPr>
      <w:r>
        <w:rPr>
          <w:sz w:val="22"/>
        </w:rPr>
        <w:t xml:space="preserve">If the Commission finds that a market power abuse has occurred, it may order a reasonable mitigation of the market power by ordering the construction of additional transmission or distribution facilities, seeking an injunction or civil penalties, imposing an administrative penalty, or suspending, revoking, or amending a certificate or registration.  </w:t>
      </w:r>
    </w:p>
    <w:p>
      <w:pPr>
        <w:pStyle w:val="BodyText"/>
        <w:rPr>
          <w:sz w:val="22"/>
        </w:rPr>
      </w:pPr>
      <w:r>
        <w:rPr>
          <w:sz w:val="22"/>
        </w:rPr>
      </w:r>
    </w:p>
    <w:p>
      <w:pPr>
        <w:pStyle w:val="BodyText"/>
        <w:rPr>
          <w:sz w:val="22"/>
        </w:rPr>
      </w:pPr>
      <w:r>
        <w:rPr>
          <w:sz w:val="22"/>
        </w:rPr>
        <w:t xml:space="preserve">An interesting question that is likely to come up when the first case alleging market power abuse is brought by or to the Commission is whether “persons possessing market power” are only those companies determined to own and control more than 20% of the installed generating capacity in a power region.  Because the market power abuses listed in the statute can be committed by almost any generator, depending on the location of the plant, time of day or year, weather conditions, and general status of market transactions, it appears unlikely that the Legislature intended for the term to be so limited.  </w:t>
      </w:r>
    </w:p>
    <w:p>
      <w:pPr>
        <w:pStyle w:val="Normal"/>
        <w:jc w:val="both"/>
        <w:rPr>
          <w:sz w:val="24"/>
        </w:rPr>
      </w:pPr>
      <w:r>
        <w:rPr>
          <w:sz w:val="24"/>
        </w:rPr>
      </w:r>
    </w:p>
    <w:p>
      <w:pPr>
        <w:pStyle w:val="Heading2"/>
        <w:ind w:start="0" w:end="0"/>
        <w:rPr>
          <w:b/>
          <w:sz w:val="24"/>
        </w:rPr>
      </w:pPr>
      <w:r>
        <w:rPr>
          <w:b/>
          <w:sz w:val="24"/>
          <w:u w:val="none"/>
        </w:rPr>
        <w:t>I.</w:t>
        <w:tab/>
        <w:t>Provider of Last Resort</w:t>
      </w:r>
    </w:p>
    <w:p>
      <w:pPr>
        <w:pStyle w:val="Normal"/>
        <w:ind w:start="1440" w:end="0"/>
        <w:jc w:val="both"/>
        <w:rPr>
          <w:b/>
          <w:sz w:val="24"/>
        </w:rPr>
      </w:pPr>
      <w:r>
        <w:rPr>
          <w:b/>
          <w:sz w:val="24"/>
        </w:rPr>
      </w:r>
    </w:p>
    <w:p>
      <w:pPr>
        <w:pStyle w:val="BodyText"/>
        <w:rPr>
          <w:b/>
        </w:rPr>
      </w:pPr>
      <w:r>
        <w:rPr>
          <w:b/>
        </w:rPr>
        <w:t>1.</w:t>
        <w:tab/>
        <w:t>Statutory Requirements</w:t>
      </w:r>
    </w:p>
    <w:p>
      <w:pPr>
        <w:pStyle w:val="BodyText"/>
        <w:rPr>
          <w:b/>
        </w:rPr>
      </w:pPr>
      <w:r>
        <w:rPr>
          <w:b/>
        </w:rPr>
      </w:r>
    </w:p>
    <w:p>
      <w:pPr>
        <w:pStyle w:val="BodyText"/>
        <w:rPr>
          <w:sz w:val="22"/>
        </w:rPr>
      </w:pPr>
      <w:r>
        <w:rPr>
          <w:sz w:val="22"/>
        </w:rPr>
        <w:t>To ensure that all electric customers’ have access to service after Jan. 1, 2002, PURA requires the Commission to designate a REP to be the provider of last resort (POLR) in each utility’s service area.  As indicated by its title, the POLR is intended to be a provider of electric service to customers who are unable to find another REP willing to serve them.  The Commission determines the criteria for designating POLRs, as well as the procedures for POLR designation, which may include the solicitation of bids.</w:t>
      </w:r>
    </w:p>
    <w:p>
      <w:pPr>
        <w:pStyle w:val="BodyText"/>
        <w:rPr>
          <w:sz w:val="22"/>
        </w:rPr>
      </w:pPr>
      <w:r>
        <w:rPr>
          <w:sz w:val="22"/>
        </w:rPr>
      </w:r>
    </w:p>
    <w:p>
      <w:pPr>
        <w:pStyle w:val="BodyText"/>
        <w:rPr>
          <w:sz w:val="22"/>
        </w:rPr>
      </w:pPr>
      <w:r>
        <w:rPr>
          <w:sz w:val="22"/>
        </w:rPr>
        <w:t>A POLR must offer a standard retail service package for each class of customers designated by the Commission at a fixed, nondiscountable rate approved by the Commission.  If a REP fails to serve any or all of its customers, the POLR must offer the customer the standard retail service package for the customer’s class with no interruption of service.</w:t>
      </w:r>
    </w:p>
    <w:p>
      <w:pPr>
        <w:pStyle w:val="BodyText"/>
        <w:rPr>
          <w:sz w:val="22"/>
        </w:rPr>
      </w:pPr>
      <w:r>
        <w:rPr>
          <w:sz w:val="22"/>
        </w:rPr>
      </w:r>
    </w:p>
    <w:p>
      <w:pPr>
        <w:pStyle w:val="BodyText"/>
        <w:rPr>
          <w:sz w:val="22"/>
        </w:rPr>
      </w:pPr>
      <w:r>
        <w:rPr>
          <w:sz w:val="22"/>
        </w:rPr>
        <w:t>If no REP applies to be the POLR for a given area of the state on reasonable terms and conditions, the Commission may require a REP to become the provider of last resort as a condition of receiving or maintaining a certificate.</w:t>
      </w:r>
    </w:p>
    <w:p>
      <w:pPr>
        <w:pStyle w:val="BodyText"/>
        <w:rPr/>
      </w:pPr>
      <w:r>
        <w:rPr/>
      </w:r>
    </w:p>
    <w:p>
      <w:pPr>
        <w:pStyle w:val="BodyText"/>
        <w:rPr>
          <w:b/>
        </w:rPr>
      </w:pPr>
      <w:r>
        <w:rPr>
          <w:b/>
        </w:rPr>
        <w:t>2.</w:t>
        <w:tab/>
        <w:t>The Rule</w:t>
      </w:r>
    </w:p>
    <w:p>
      <w:pPr>
        <w:pStyle w:val="Normal"/>
        <w:jc w:val="both"/>
        <w:rPr>
          <w:b/>
          <w:sz w:val="24"/>
        </w:rPr>
      </w:pPr>
      <w:r>
        <w:rPr>
          <w:b/>
          <w:sz w:val="24"/>
        </w:rPr>
      </w:r>
    </w:p>
    <w:p>
      <w:pPr>
        <w:pStyle w:val="Normal"/>
        <w:jc w:val="both"/>
        <w:rPr>
          <w:sz w:val="22"/>
        </w:rPr>
      </w:pPr>
      <w:r>
        <w:rPr>
          <w:sz w:val="22"/>
        </w:rPr>
        <w:t>The Commission’s rule establishes three customer classes for POLR service.  They include residential, small non-residential, and large non-residential.  As required by PURA, the rule limits the POLR to standard, firm service (no promotional, interruptible, time-of-use, or “green” rates).  The POLR is also limited to standard metering and billing offerings.  The POLR is not intended to operate as a competitor to other REPs.</w:t>
      </w:r>
    </w:p>
    <w:p>
      <w:pPr>
        <w:pStyle w:val="Normal"/>
        <w:jc w:val="both"/>
        <w:rPr>
          <w:sz w:val="22"/>
        </w:rPr>
      </w:pPr>
      <w:r>
        <w:rPr>
          <w:sz w:val="22"/>
        </w:rPr>
      </w:r>
    </w:p>
    <w:p>
      <w:pPr>
        <w:pStyle w:val="Normal"/>
        <w:jc w:val="both"/>
        <w:rPr>
          <w:sz w:val="22"/>
        </w:rPr>
      </w:pPr>
      <w:r>
        <w:rPr>
          <w:sz w:val="22"/>
        </w:rPr>
        <w:t>The rule requires the POLR to be chosen through a bidding process conducted by the Commission.  If the bid fails due to a lack of interest among bidders or because the bids were determined to be unreasonable, the POLR will be designated by the PUC for a one-year term.</w:t>
      </w:r>
    </w:p>
    <w:p>
      <w:pPr>
        <w:pStyle w:val="Normal"/>
        <w:jc w:val="both"/>
        <w:rPr>
          <w:sz w:val="22"/>
        </w:rPr>
      </w:pPr>
      <w:r>
        <w:rPr>
          <w:sz w:val="22"/>
        </w:rPr>
      </w:r>
    </w:p>
    <w:p>
      <w:pPr>
        <w:pStyle w:val="Normal"/>
        <w:jc w:val="both"/>
        <w:rPr>
          <w:sz w:val="22"/>
        </w:rPr>
      </w:pPr>
      <w:r>
        <w:rPr>
          <w:sz w:val="22"/>
        </w:rPr>
        <w:t>Affiliated REPs may not submit bids to be the POLR for PTB customers in their affiliated T&amp;D utility’s service area, but may be so designated by the Commission.</w:t>
      </w:r>
    </w:p>
    <w:p>
      <w:pPr>
        <w:pStyle w:val="Normal"/>
        <w:ind w:start="1440" w:end="0"/>
        <w:jc w:val="both"/>
        <w:rPr>
          <w:sz w:val="28"/>
        </w:rPr>
      </w:pPr>
      <w:r>
        <w:rPr>
          <w:sz w:val="28"/>
        </w:rPr>
      </w:r>
    </w:p>
    <w:p>
      <w:pPr>
        <w:pStyle w:val="BodyText"/>
        <w:rPr>
          <w:b/>
        </w:rPr>
      </w:pPr>
      <w:r>
        <w:rPr>
          <w:b/>
        </w:rPr>
        <w:t>J.</w:t>
        <w:tab/>
        <w:t>Capacity Auctions</w:t>
      </w:r>
    </w:p>
    <w:p>
      <w:pPr>
        <w:pStyle w:val="BodyText"/>
        <w:rPr>
          <w:b/>
        </w:rPr>
      </w:pPr>
      <w:r>
        <w:rPr>
          <w:b/>
        </w:rPr>
      </w:r>
    </w:p>
    <w:p>
      <w:pPr>
        <w:pStyle w:val="BodyText"/>
        <w:rPr>
          <w:b/>
        </w:rPr>
      </w:pPr>
      <w:r>
        <w:rPr>
          <w:b/>
        </w:rPr>
        <w:t>1.</w:t>
        <w:tab/>
        <w:t>Statutory Requirements</w:t>
      </w:r>
    </w:p>
    <w:p>
      <w:pPr>
        <w:pStyle w:val="Normal"/>
        <w:ind w:start="1440" w:end="0"/>
        <w:jc w:val="both"/>
        <w:rPr>
          <w:b/>
          <w:sz w:val="24"/>
        </w:rPr>
      </w:pPr>
      <w:r>
        <w:rPr>
          <w:b/>
          <w:sz w:val="24"/>
        </w:rPr>
      </w:r>
    </w:p>
    <w:p>
      <w:pPr>
        <w:pStyle w:val="BodyText"/>
        <w:rPr>
          <w:sz w:val="22"/>
        </w:rPr>
      </w:pPr>
      <w:r>
        <w:rPr>
          <w:sz w:val="22"/>
        </w:rPr>
        <w:t>Each electric utility, except those owning less than 400 MW of capacity, is required to sell at auction, at least 60 days before the customer choice date, entitlements to at least 15% of the electric utility’s Texas jurisdictional installed generation capacity.  The obligation to auction shall continue until the earlier of 60 months after the customer choice date, or the date the Commission determines that at least 40% of the power consumed by residential and small commercial customers within the affiliated transmission and distribution utility’s service area before the customer choice date is provided by nonaffiliated REPs.</w:t>
      </w:r>
    </w:p>
    <w:p>
      <w:pPr>
        <w:pStyle w:val="BodyText"/>
        <w:rPr>
          <w:sz w:val="22"/>
        </w:rPr>
      </w:pPr>
      <w:r>
        <w:rPr>
          <w:sz w:val="22"/>
        </w:rPr>
      </w:r>
    </w:p>
    <w:p>
      <w:pPr>
        <w:pStyle w:val="BodyText"/>
        <w:rPr>
          <w:sz w:val="22"/>
        </w:rPr>
      </w:pPr>
      <w:r>
        <w:rPr>
          <w:sz w:val="22"/>
        </w:rPr>
        <w:t>Entitlements may only be purchased by entities lawfully able to sell electricity in Texas, and may not be purchased by the affiliate of the electric utility selling the entitlements.  Purchase of the entitlements includes the right to use the dispatchable capacity, and does not confer upon the purchaser any property rights in the underlying generation assets.</w:t>
      </w:r>
    </w:p>
    <w:p>
      <w:pPr>
        <w:pStyle w:val="Normal"/>
        <w:ind w:start="1440" w:end="0"/>
        <w:jc w:val="both"/>
        <w:rPr>
          <w:sz w:val="24"/>
        </w:rPr>
      </w:pPr>
      <w:r>
        <w:rPr>
          <w:sz w:val="24"/>
        </w:rPr>
      </w:r>
    </w:p>
    <w:p>
      <w:pPr>
        <w:pStyle w:val="Normal"/>
        <w:jc w:val="both"/>
        <w:rPr>
          <w:b/>
          <w:sz w:val="24"/>
        </w:rPr>
      </w:pPr>
      <w:r>
        <w:rPr>
          <w:b/>
          <w:sz w:val="24"/>
        </w:rPr>
        <w:t>2.</w:t>
        <w:tab/>
        <w:t>The Rule</w:t>
      </w:r>
    </w:p>
    <w:p>
      <w:pPr>
        <w:pStyle w:val="Normal"/>
        <w:jc w:val="both"/>
        <w:rPr>
          <w:b/>
          <w:sz w:val="24"/>
        </w:rPr>
      </w:pPr>
      <w:r>
        <w:rPr>
          <w:b/>
          <w:sz w:val="24"/>
        </w:rPr>
      </w:r>
    </w:p>
    <w:p>
      <w:pPr>
        <w:pStyle w:val="Normal"/>
        <w:jc w:val="both"/>
        <w:rPr>
          <w:sz w:val="22"/>
        </w:rPr>
      </w:pPr>
      <w:r>
        <w:rPr>
          <w:sz w:val="22"/>
        </w:rPr>
        <w:t>The capacity auction rule requires that each affiliated PGC offer four products for sale in each capacity auction.  The four products are baseload, gas intermediate, gas-cyclic, and gas peaking capacity, determined as a “slice of each PGC’s system.”  For affiliated PGCs with generation in multiple congestion zones, the rule requires that entitlements be auctioned for delivery in each congestion zone.</w:t>
      </w:r>
    </w:p>
    <w:p>
      <w:pPr>
        <w:pStyle w:val="Normal"/>
        <w:ind w:hanging="720" w:start="1440" w:end="0"/>
        <w:jc w:val="both"/>
        <w:rPr>
          <w:sz w:val="22"/>
        </w:rPr>
      </w:pPr>
      <w:r>
        <w:rPr>
          <w:sz w:val="22"/>
        </w:rPr>
      </w:r>
    </w:p>
    <w:p>
      <w:pPr>
        <w:pStyle w:val="BodyText2"/>
        <w:rPr/>
      </w:pPr>
      <w:r>
        <w:rPr/>
        <w:t xml:space="preserve">The rule addresses purchasers’ rights, duties, and credit requirements.  </w:t>
      </w:r>
    </w:p>
    <w:p>
      <w:pPr>
        <w:pStyle w:val="Normal"/>
        <w:ind w:hanging="720" w:start="1440" w:end="0"/>
        <w:jc w:val="both"/>
        <w:rPr>
          <w:sz w:val="22"/>
        </w:rPr>
      </w:pPr>
      <w:r>
        <w:rPr>
          <w:sz w:val="22"/>
        </w:rPr>
      </w:r>
    </w:p>
    <w:p>
      <w:pPr>
        <w:pStyle w:val="Normal"/>
        <w:jc w:val="both"/>
        <w:rPr>
          <w:sz w:val="22"/>
        </w:rPr>
      </w:pPr>
      <w:r>
        <w:rPr>
          <w:sz w:val="22"/>
        </w:rPr>
        <w:t>Auction administration and procedures may be administered by the affiliated PGC or a qualified third party.  Each utility’s initial auction must be concluded by September 1, 2001; subsequent auctions must be held by Mar. 15, July 15, Sept. 1, and Nov. 15 of each succeeding year.</w:t>
      </w:r>
    </w:p>
    <w:p>
      <w:pPr>
        <w:pStyle w:val="Normal"/>
        <w:jc w:val="both"/>
        <w:rPr>
          <w:sz w:val="22"/>
        </w:rPr>
      </w:pPr>
      <w:r>
        <w:rPr>
          <w:sz w:val="22"/>
        </w:rPr>
      </w:r>
    </w:p>
    <w:p>
      <w:pPr>
        <w:pStyle w:val="Normal"/>
        <w:ind w:hanging="720" w:start="720" w:end="0"/>
        <w:jc w:val="both"/>
        <w:rPr>
          <w:b/>
          <w:sz w:val="24"/>
        </w:rPr>
      </w:pPr>
      <w:r>
        <w:rPr>
          <w:b/>
          <w:sz w:val="24"/>
        </w:rPr>
        <w:t>K.</w:t>
        <w:tab/>
        <w:t>Terms and Conditions for T&amp;D Access (tariffs):</w:t>
      </w:r>
    </w:p>
    <w:p>
      <w:pPr>
        <w:pStyle w:val="Normal"/>
        <w:ind w:start="1440" w:end="0"/>
        <w:jc w:val="both"/>
        <w:rPr>
          <w:b/>
          <w:sz w:val="24"/>
        </w:rPr>
      </w:pPr>
      <w:r>
        <w:rPr>
          <w:b/>
          <w:sz w:val="24"/>
        </w:rPr>
      </w:r>
    </w:p>
    <w:p>
      <w:pPr>
        <w:pStyle w:val="BodyText"/>
        <w:rPr>
          <w:b/>
        </w:rPr>
      </w:pPr>
      <w:r>
        <w:rPr>
          <w:b/>
        </w:rPr>
        <w:t>1.</w:t>
        <w:tab/>
        <w:t>Statutory Requirements</w:t>
      </w:r>
    </w:p>
    <w:p>
      <w:pPr>
        <w:pStyle w:val="BodyText"/>
        <w:rPr>
          <w:b/>
        </w:rPr>
      </w:pPr>
      <w:r>
        <w:rPr>
          <w:b/>
        </w:rPr>
      </w:r>
    </w:p>
    <w:p>
      <w:pPr>
        <w:pStyle w:val="BodyText"/>
        <w:rPr>
          <w:sz w:val="22"/>
        </w:rPr>
      </w:pPr>
      <w:r>
        <w:rPr>
          <w:sz w:val="22"/>
        </w:rPr>
        <w:t>All T&amp;D utilities continue to be required to provide open access, comparable transmission service at wholesale under existing provisions of PURA.  In addition, T&amp;D utilities will be required, after 1-1-2002, to provide open access, comparable transmission and distribution service, or both, at retail to electric utilities, REPs, municipally-owned utilities, electric cooperatives, or an end-use customer.</w:t>
      </w:r>
    </w:p>
    <w:p>
      <w:pPr>
        <w:pStyle w:val="BodyText"/>
        <w:rPr>
          <w:sz w:val="22"/>
        </w:rPr>
      </w:pPr>
      <w:r>
        <w:rPr>
          <w:sz w:val="22"/>
        </w:rPr>
      </w:r>
    </w:p>
    <w:p>
      <w:pPr>
        <w:pStyle w:val="BodyText"/>
        <w:rPr>
          <w:sz w:val="22"/>
        </w:rPr>
      </w:pPr>
      <w:r>
        <w:rPr>
          <w:sz w:val="22"/>
        </w:rPr>
        <w:t>On or before 1-1-2002, the Commission is required to establish for all retail electric utilities offering customer choice reasonable and comparable terms and conditions for open access on distribution facilities, and for all retail electric utilities offering customer choice other than municipally owned electric utilities and electric cooperatives, reasonable and comparable rates for open access on distribution facilities.</w:t>
      </w:r>
    </w:p>
    <w:p>
      <w:pPr>
        <w:pStyle w:val="BodyText"/>
        <w:rPr>
          <w:sz w:val="22"/>
        </w:rPr>
      </w:pPr>
      <w:r>
        <w:rPr>
          <w:sz w:val="22"/>
        </w:rPr>
      </w:r>
    </w:p>
    <w:p>
      <w:pPr>
        <w:pStyle w:val="BodyText"/>
        <w:rPr/>
      </w:pPr>
      <w:r>
        <w:rPr>
          <w:sz w:val="22"/>
        </w:rPr>
        <w:t>Not later than the 90</w:t>
      </w:r>
      <w:r>
        <w:rPr>
          <w:sz w:val="22"/>
          <w:vertAlign w:val="superscript"/>
        </w:rPr>
        <w:t>th</w:t>
      </w:r>
      <w:r>
        <w:rPr>
          <w:sz w:val="22"/>
        </w:rPr>
        <w:t xml:space="preserve"> day before the date customer choice is offered by a utility, the utility must file a tariff implementing the open access rules on the Commission.  The Commission may require a T&amp;D utility to construct or enlarge facilities to ensure safe and reliable service for the state’s electric markets.</w:t>
      </w:r>
    </w:p>
    <w:p>
      <w:pPr>
        <w:pStyle w:val="BodyText"/>
        <w:rPr>
          <w:sz w:val="22"/>
        </w:rPr>
      </w:pPr>
      <w:r>
        <w:rPr>
          <w:sz w:val="22"/>
        </w:rPr>
      </w:r>
    </w:p>
    <w:p>
      <w:pPr>
        <w:pStyle w:val="BodyText"/>
        <w:rPr>
          <w:b/>
        </w:rPr>
      </w:pPr>
      <w:r>
        <w:rPr>
          <w:b/>
        </w:rPr>
        <w:t>2.</w:t>
        <w:tab/>
        <w:t>The Rule</w:t>
      </w:r>
    </w:p>
    <w:p>
      <w:pPr>
        <w:pStyle w:val="BodyText"/>
        <w:rPr>
          <w:b/>
        </w:rPr>
      </w:pPr>
      <w:r>
        <w:rPr>
          <w:b/>
        </w:rPr>
      </w:r>
    </w:p>
    <w:p>
      <w:pPr>
        <w:pStyle w:val="Normal"/>
        <w:jc w:val="both"/>
        <w:rPr>
          <w:sz w:val="22"/>
        </w:rPr>
      </w:pPr>
      <w:r>
        <w:rPr>
          <w:sz w:val="22"/>
        </w:rPr>
        <w:t xml:space="preserve">The rule reflects the principle that the REP is to be the primary point of contact with the end-use customer.  The T&amp;D utility is to be the point of contact for service installation only, with the exception that the REP may choose to have outage calls forwarded to the T&amp;D utility directly.  The T&amp;D tariffs required by this rule reflect the dual nature of the T&amp;D utility’s service obligations, with one tariff applicable to service to REPs, and a separate tariff required for provision of delivery service to retail customers. </w:t>
      </w:r>
    </w:p>
    <w:p>
      <w:pPr>
        <w:pStyle w:val="Normal"/>
        <w:jc w:val="both"/>
        <w:rPr>
          <w:sz w:val="24"/>
        </w:rPr>
      </w:pPr>
      <w:r>
        <w:rPr>
          <w:sz w:val="24"/>
        </w:rPr>
      </w:r>
    </w:p>
    <w:p>
      <w:pPr>
        <w:pStyle w:val="Normal"/>
        <w:jc w:val="both"/>
        <w:rPr>
          <w:b/>
          <w:sz w:val="24"/>
        </w:rPr>
      </w:pPr>
      <w:r>
        <w:rPr>
          <w:b/>
          <w:sz w:val="24"/>
        </w:rPr>
        <w:t>L.</w:t>
        <w:tab/>
        <w:t>Price to Beat:</w:t>
      </w:r>
    </w:p>
    <w:p>
      <w:pPr>
        <w:pStyle w:val="Normal"/>
        <w:ind w:start="1440" w:end="0"/>
        <w:jc w:val="both"/>
        <w:rPr>
          <w:b/>
          <w:sz w:val="24"/>
        </w:rPr>
      </w:pPr>
      <w:r>
        <w:rPr>
          <w:b/>
          <w:sz w:val="24"/>
        </w:rPr>
      </w:r>
    </w:p>
    <w:p>
      <w:pPr>
        <w:pStyle w:val="BodyText"/>
        <w:rPr>
          <w:b/>
        </w:rPr>
      </w:pPr>
      <w:r>
        <w:rPr>
          <w:b/>
        </w:rPr>
        <w:t>1.</w:t>
        <w:tab/>
        <w:t>Statutory Requirements</w:t>
      </w:r>
    </w:p>
    <w:p>
      <w:pPr>
        <w:pStyle w:val="BodyText"/>
        <w:rPr>
          <w:b/>
        </w:rPr>
      </w:pPr>
      <w:r>
        <w:rPr>
          <w:b/>
        </w:rPr>
      </w:r>
    </w:p>
    <w:p>
      <w:pPr>
        <w:pStyle w:val="BodyText"/>
        <w:rPr>
          <w:sz w:val="22"/>
        </w:rPr>
      </w:pPr>
      <w:r>
        <w:rPr>
          <w:sz w:val="22"/>
        </w:rPr>
        <w:t>From 1-1-2002 until 1-1-2007, a REP affiliated with the T&amp;D utility serving an area must make available to residential and small commercial customers in the service area rates that are 6% less, on a bundled basis, than the rates that were in effect for the area on 1-1-99.  The rates may be adjusted to reflect the fuel factor determined by the Commission for each utility as of 12-31-2001, and may be further adjusted to reflect any base rate reduction stipulated to by the utility but not yet in effect on 1-1-99.  These rates shall be the “Price to Beat” (PTB) for residential and small commercial customers, and shall be disclosed in a manner required by the Commission.</w:t>
      </w:r>
    </w:p>
    <w:p>
      <w:pPr>
        <w:pStyle w:val="BodyText"/>
        <w:rPr>
          <w:sz w:val="22"/>
        </w:rPr>
      </w:pPr>
      <w:r>
        <w:rPr>
          <w:sz w:val="22"/>
        </w:rPr>
      </w:r>
    </w:p>
    <w:p>
      <w:pPr>
        <w:pStyle w:val="BodyText"/>
        <w:rPr>
          <w:sz w:val="22"/>
        </w:rPr>
      </w:pPr>
      <w:r>
        <w:rPr>
          <w:sz w:val="22"/>
        </w:rPr>
        <w:t>The affiliated REP may not charge rates to residential and small commercial customers that differ from the PTB until the earlier of (a) 36 months or (b) when the Commission determines that 40% of the power consumed by residential customers or 40% of the power consumed by small commercial customers is committed to be served by non-affiliated power suppliers.</w:t>
      </w:r>
    </w:p>
    <w:p>
      <w:pPr>
        <w:pStyle w:val="BodyText"/>
        <w:rPr>
          <w:sz w:val="22"/>
        </w:rPr>
      </w:pPr>
      <w:r>
        <w:rPr>
          <w:sz w:val="22"/>
        </w:rPr>
      </w:r>
    </w:p>
    <w:p>
      <w:pPr>
        <w:pStyle w:val="BodyText"/>
        <w:rPr>
          <w:sz w:val="22"/>
        </w:rPr>
      </w:pPr>
      <w:r>
        <w:rPr>
          <w:sz w:val="22"/>
        </w:rPr>
        <w:t>The affiliated REP may charge rates that differ from the PTB for service to aggregated loads of nonresidential customers having an aggregated peak demand greater than 1,000 kW, provided that such customers are commonly owned or franchisees of the same franchise.</w:t>
      </w:r>
    </w:p>
    <w:p>
      <w:pPr>
        <w:pStyle w:val="BodyText"/>
        <w:rPr>
          <w:sz w:val="22"/>
        </w:rPr>
      </w:pPr>
      <w:r>
        <w:rPr>
          <w:sz w:val="22"/>
        </w:rPr>
      </w:r>
    </w:p>
    <w:p>
      <w:pPr>
        <w:pStyle w:val="BodyText"/>
        <w:rPr>
          <w:b/>
        </w:rPr>
      </w:pPr>
      <w:r>
        <w:rPr>
          <w:b/>
        </w:rPr>
        <w:t>2.</w:t>
        <w:tab/>
        <w:t>The Rule</w:t>
      </w:r>
    </w:p>
    <w:p>
      <w:pPr>
        <w:pStyle w:val="BodyText"/>
        <w:rPr>
          <w:b/>
        </w:rPr>
      </w:pPr>
      <w:r>
        <w:rPr>
          <w:b/>
        </w:rPr>
      </w:r>
    </w:p>
    <w:p>
      <w:pPr>
        <w:pStyle w:val="BodyText"/>
        <w:rPr>
          <w:b/>
          <w:sz w:val="22"/>
        </w:rPr>
      </w:pPr>
      <w:r>
        <w:rPr>
          <w:b/>
          <w:sz w:val="22"/>
        </w:rPr>
        <w:t>a.</w:t>
        <w:tab/>
        <w:t>The PTB rates</w:t>
      </w:r>
    </w:p>
    <w:p>
      <w:pPr>
        <w:pStyle w:val="BodyText"/>
        <w:rPr>
          <w:b/>
          <w:sz w:val="22"/>
        </w:rPr>
      </w:pPr>
      <w:r>
        <w:rPr>
          <w:b/>
          <w:sz w:val="22"/>
        </w:rPr>
      </w:r>
    </w:p>
    <w:p>
      <w:pPr>
        <w:pStyle w:val="BodyText"/>
        <w:rPr>
          <w:sz w:val="22"/>
        </w:rPr>
      </w:pPr>
      <w:r>
        <w:rPr>
          <w:sz w:val="22"/>
        </w:rPr>
        <w:t>The PTB rates include a six percent discount applied to every tariff and rider in effect on Jan. 1, 1999 applicable to residential and small commercial customers, with the exception of “special,” economic development, or experimental rates.</w:t>
      </w:r>
    </w:p>
    <w:p>
      <w:pPr>
        <w:pStyle w:val="BodyText"/>
        <w:rPr>
          <w:sz w:val="22"/>
        </w:rPr>
      </w:pPr>
      <w:r>
        <w:rPr>
          <w:sz w:val="22"/>
        </w:rPr>
      </w:r>
    </w:p>
    <w:p>
      <w:pPr>
        <w:pStyle w:val="BodyText"/>
        <w:rPr>
          <w:sz w:val="22"/>
        </w:rPr>
      </w:pPr>
      <w:r>
        <w:rPr>
          <w:sz w:val="22"/>
        </w:rPr>
        <w:t>Most important for the viability of competition in Texas, the PTB rate can be adjusted up to twice a year for changes in the prices of natural gas and purchased power.  This means that, to the extent wholesale power supply costs rise for competitive REPs, a corresponding rise will be made to the PTB under which competitive REPs must price their products, thereby preserving competitive “headroom.”</w:t>
      </w:r>
    </w:p>
    <w:p>
      <w:pPr>
        <w:pStyle w:val="BodyText"/>
        <w:rPr>
          <w:sz w:val="22"/>
        </w:rPr>
      </w:pPr>
      <w:r>
        <w:rPr>
          <w:sz w:val="22"/>
        </w:rPr>
      </w:r>
    </w:p>
    <w:p>
      <w:pPr>
        <w:pStyle w:val="BodyText"/>
        <w:rPr>
          <w:b/>
          <w:sz w:val="22"/>
        </w:rPr>
      </w:pPr>
      <w:r>
        <w:rPr>
          <w:b/>
          <w:sz w:val="22"/>
        </w:rPr>
        <w:t>b.</w:t>
        <w:tab/>
        <w:t>Seasonality</w:t>
      </w:r>
    </w:p>
    <w:p>
      <w:pPr>
        <w:pStyle w:val="BodyText"/>
        <w:rPr>
          <w:b/>
          <w:sz w:val="22"/>
        </w:rPr>
      </w:pPr>
      <w:r>
        <w:rPr>
          <w:b/>
          <w:sz w:val="22"/>
        </w:rPr>
      </w:r>
    </w:p>
    <w:p>
      <w:pPr>
        <w:pStyle w:val="BodyText"/>
        <w:rPr>
          <w:sz w:val="22"/>
        </w:rPr>
      </w:pPr>
      <w:r>
        <w:rPr>
          <w:sz w:val="22"/>
        </w:rPr>
        <w:t xml:space="preserve">One of the most contested issues in the PTB rulemaking proceeding was whether the PTB rate should include adjustments to reflect seasonal changes in power prices.  In Texas, as in most of the U.S., electric demand is highest in the summer months, and wholesale electric prices tend to correspondingly peak.  It is therefore much more expensive to provide service to retail customers in the summer than it is the rest of the year.  </w:t>
      </w:r>
    </w:p>
    <w:p>
      <w:pPr>
        <w:pStyle w:val="BodyText"/>
        <w:rPr>
          <w:sz w:val="22"/>
        </w:rPr>
      </w:pPr>
      <w:r>
        <w:rPr>
          <w:sz w:val="22"/>
        </w:rPr>
      </w:r>
    </w:p>
    <w:p>
      <w:pPr>
        <w:pStyle w:val="BodyText"/>
        <w:rPr>
          <w:sz w:val="22"/>
        </w:rPr>
      </w:pPr>
      <w:r>
        <w:rPr>
          <w:sz w:val="22"/>
        </w:rPr>
        <w:t>In other states that have restructured, some competitive retailers have “gamed” the system by dropping customers to the default supplier (who typically charges a regulated, levelized rate year-round) in the summer, and picking them up again in the fall.  This obviously results in economic harm to the default supplier, who must provide service to customers at a loss in the summer, and yet is not able to recoup his losses in the off-peak months.  Parties argued that permitting the default supplier (the affiliated REP in Texas) to charge a reasonable price adder in the summer would make it harder to game the system in this manner, allow customers to make more accurate price comparisons among the affiliated and competitive REPs, and accustom customers to adjusting their demands to the true price of power.  Consumer representatives, however, objected that it would cause PTB customers economic distress to subject them to an adder on their electric rates during the summer months, when usage of electricity is at its height.</w:t>
      </w:r>
    </w:p>
    <w:p>
      <w:pPr>
        <w:pStyle w:val="BodyText"/>
        <w:rPr>
          <w:sz w:val="22"/>
        </w:rPr>
      </w:pPr>
      <w:r>
        <w:rPr>
          <w:sz w:val="22"/>
        </w:rPr>
      </w:r>
    </w:p>
    <w:p>
      <w:pPr>
        <w:pStyle w:val="BodyText"/>
        <w:rPr>
          <w:sz w:val="22"/>
        </w:rPr>
      </w:pPr>
      <w:r>
        <w:rPr>
          <w:sz w:val="22"/>
        </w:rPr>
        <w:t>The Commission agreed with the consumer representatives, and adopted a provision in the PTB rule prohibiting a seasonality adjustment in the PTB rates for residential customers.  The Commission furthermore included a prohibition on any REP’s causing a customer to be switched for this purpose.  The rule permits affiliated REPs, however, to propose a seasonality adjustment to the PTB applied to small commercial customers, on the basis that these customers are likely to be more sophisticated than residentials, and are therefore more likely to try to game the system themselves.</w:t>
      </w:r>
    </w:p>
    <w:p>
      <w:pPr>
        <w:pStyle w:val="Normal"/>
        <w:jc w:val="both"/>
        <w:rPr>
          <w:sz w:val="28"/>
        </w:rPr>
      </w:pPr>
      <w:r>
        <w:rPr>
          <w:sz w:val="28"/>
        </w:rPr>
      </w:r>
    </w:p>
    <w:p>
      <w:pPr>
        <w:pStyle w:val="Normal"/>
        <w:jc w:val="both"/>
        <w:rPr>
          <w:b/>
          <w:sz w:val="24"/>
        </w:rPr>
      </w:pPr>
      <w:r>
        <w:rPr>
          <w:b/>
          <w:sz w:val="24"/>
        </w:rPr>
        <w:t>M.</w:t>
        <w:tab/>
        <w:t>True-up rule:</w:t>
      </w:r>
    </w:p>
    <w:p>
      <w:pPr>
        <w:pStyle w:val="Normal"/>
        <w:ind w:start="1440" w:end="0"/>
        <w:jc w:val="both"/>
        <w:rPr>
          <w:b/>
          <w:sz w:val="24"/>
        </w:rPr>
      </w:pPr>
      <w:r>
        <w:rPr>
          <w:b/>
          <w:sz w:val="24"/>
        </w:rPr>
      </w:r>
    </w:p>
    <w:p>
      <w:pPr>
        <w:pStyle w:val="BodyText"/>
        <w:rPr>
          <w:b/>
        </w:rPr>
      </w:pPr>
      <w:r>
        <w:rPr>
          <w:b/>
        </w:rPr>
        <w:t>1.</w:t>
        <w:tab/>
        <w:t>Statutory Requirements</w:t>
      </w:r>
    </w:p>
    <w:p>
      <w:pPr>
        <w:pStyle w:val="BodyText"/>
        <w:rPr>
          <w:b/>
        </w:rPr>
      </w:pPr>
      <w:r>
        <w:rPr>
          <w:b/>
        </w:rPr>
      </w:r>
    </w:p>
    <w:p>
      <w:pPr>
        <w:pStyle w:val="BodyText"/>
        <w:rPr>
          <w:sz w:val="22"/>
        </w:rPr>
      </w:pPr>
      <w:r>
        <w:rPr>
          <w:sz w:val="22"/>
        </w:rPr>
        <w:t>After 1-10-2004, at a schedule and under procedures to be established by the Commission, each T&amp;D, its affiliated REP, and its affiliated PGC shall jointly file to finalize its stranded costs and reconcile its stranded costs with the estimate used to develop the competition transmission charge.  Any resulting difference shall be applied to the nonbypassable delivery rates of the T&amp;D utility, except that a utility may securitize any remaining stranded costs.</w:t>
      </w:r>
    </w:p>
    <w:p>
      <w:pPr>
        <w:pStyle w:val="BodyText"/>
        <w:rPr>
          <w:sz w:val="22"/>
        </w:rPr>
      </w:pPr>
      <w:r>
        <w:rPr>
          <w:sz w:val="22"/>
        </w:rPr>
      </w:r>
    </w:p>
    <w:p>
      <w:pPr>
        <w:pStyle w:val="BodyText"/>
        <w:rPr>
          <w:sz w:val="22"/>
        </w:rPr>
      </w:pPr>
      <w:r>
        <w:rPr>
          <w:sz w:val="22"/>
        </w:rPr>
        <w:t>In addition, the affiliated PGC shall reconcile, and either credit or bill to the T&amp;D utility the net sum of the former utility’s final fuel balance and any difference between the price of power obtained through the capacity auctions and the stranded cost estimates used to develop the competition transmission charge.</w:t>
      </w:r>
    </w:p>
    <w:p>
      <w:pPr>
        <w:pStyle w:val="BodyText"/>
        <w:rPr>
          <w:sz w:val="22"/>
        </w:rPr>
      </w:pPr>
      <w:r>
        <w:rPr>
          <w:sz w:val="22"/>
        </w:rPr>
      </w:r>
    </w:p>
    <w:p>
      <w:pPr>
        <w:pStyle w:val="BodyText"/>
        <w:rPr>
          <w:sz w:val="22"/>
        </w:rPr>
      </w:pPr>
      <w:r>
        <w:rPr>
          <w:sz w:val="22"/>
        </w:rPr>
        <w:t>To the extent the PTB exceeded the market price of electricity, the affiliated REP shall reconcile and credit to the T&amp;D utility any positive difference between the PTB (reduced by the nonbypassable delivery charge) and the prevailing price of electricity during the same time period.  If the 40% requirement has been met before the expiration of two years, a reconciliation is not required.</w:t>
      </w:r>
    </w:p>
    <w:p>
      <w:pPr>
        <w:pStyle w:val="BodyText"/>
        <w:rPr>
          <w:sz w:val="22"/>
        </w:rPr>
      </w:pPr>
      <w:r>
        <w:rPr>
          <w:sz w:val="22"/>
        </w:rPr>
      </w:r>
    </w:p>
    <w:p>
      <w:pPr>
        <w:pStyle w:val="BodyText"/>
        <w:rPr>
          <w:sz w:val="22"/>
        </w:rPr>
      </w:pPr>
      <w:r>
        <w:rPr>
          <w:sz w:val="22"/>
        </w:rPr>
        <w:t>Based on the credits or bills it receives from its affiliates, the T&amp;D utility shall make all necessary adjustments to its nonbypassable delivery rates.  If the Commission determines that the nonbypassable delivery charges are not sufficient, the Commission may extend the time period for collection or increase the charge.  If the charge is larger than necessary, the Commission may reduce the charge, reduce the depreciation expense that has been redirected, reduce the T&amp;D utility’s rates, or a combination of these measures.</w:t>
      </w:r>
    </w:p>
    <w:p>
      <w:pPr>
        <w:pStyle w:val="BodyText"/>
        <w:rPr>
          <w:sz w:val="22"/>
        </w:rPr>
      </w:pPr>
      <w:r>
        <w:rPr>
          <w:sz w:val="22"/>
        </w:rPr>
      </w:r>
    </w:p>
    <w:p>
      <w:pPr>
        <w:pStyle w:val="BodyText"/>
        <w:rPr>
          <w:sz w:val="22"/>
        </w:rPr>
      </w:pPr>
      <w:r>
        <w:rPr>
          <w:sz w:val="22"/>
        </w:rPr>
        <w:t>Stranded costs shall be quantified by market-based methods, including a full or partial sale of the utility’s or its affiliated PGC’s generation assets, or a full or partial stock valuation of a separate affiliated or nonaffiliated corporation to which the utility or its affiliated PGC has transferred some or all of its generation assets.  Unless a utility has transferred all of its generation assets to such a corporation, stranded costs associated with its nuclear assets shall be quantified using the ECOM method.</w:t>
      </w:r>
    </w:p>
    <w:p>
      <w:pPr>
        <w:pStyle w:val="BodyText"/>
        <w:rPr>
          <w:sz w:val="22"/>
        </w:rPr>
      </w:pPr>
      <w:r>
        <w:rPr>
          <w:sz w:val="22"/>
        </w:rPr>
      </w:r>
    </w:p>
    <w:p>
      <w:pPr>
        <w:pStyle w:val="BodyText"/>
        <w:rPr>
          <w:sz w:val="22"/>
        </w:rPr>
      </w:pPr>
      <w:r>
        <w:rPr>
          <w:sz w:val="22"/>
        </w:rPr>
        <w:t>Capital costs incurred by an electric utility to improve air quality after 1-1-2002 and before 5-1-2003 are eligible for inclusion in the determination of net invested capital in the true-up proceeding.</w:t>
      </w:r>
    </w:p>
    <w:p>
      <w:pPr>
        <w:pStyle w:val="BodyText"/>
        <w:rPr>
          <w:sz w:val="22"/>
        </w:rPr>
      </w:pPr>
      <w:r>
        <w:rPr>
          <w:sz w:val="22"/>
        </w:rPr>
      </w:r>
    </w:p>
    <w:p>
      <w:pPr>
        <w:pStyle w:val="BodyText"/>
        <w:rPr>
          <w:sz w:val="22"/>
        </w:rPr>
      </w:pPr>
      <w:r>
        <w:rPr>
          <w:sz w:val="22"/>
        </w:rPr>
        <w:t>The Commission is required to issue a final order within 150 days of a utility’s true-up proceeding filing.</w:t>
      </w:r>
    </w:p>
    <w:p>
      <w:pPr>
        <w:pStyle w:val="BodyText"/>
        <w:rPr>
          <w:sz w:val="22"/>
        </w:rPr>
      </w:pPr>
      <w:r>
        <w:rPr>
          <w:sz w:val="22"/>
        </w:rPr>
      </w:r>
    </w:p>
    <w:p>
      <w:pPr>
        <w:pStyle w:val="BodyText"/>
        <w:rPr>
          <w:b/>
        </w:rPr>
      </w:pPr>
      <w:r>
        <w:rPr>
          <w:b/>
        </w:rPr>
        <w:t>2.</w:t>
        <w:tab/>
        <w:t>The Rule</w:t>
      </w:r>
    </w:p>
    <w:p>
      <w:pPr>
        <w:pStyle w:val="BodyText"/>
        <w:rPr>
          <w:b/>
        </w:rPr>
      </w:pPr>
      <w:r>
        <w:rPr>
          <w:b/>
        </w:rPr>
      </w:r>
    </w:p>
    <w:p>
      <w:pPr>
        <w:pStyle w:val="BodyText"/>
        <w:rPr>
          <w:sz w:val="22"/>
        </w:rPr>
      </w:pPr>
      <w:r>
        <w:rPr>
          <w:sz w:val="22"/>
        </w:rPr>
        <w:t>This rulemaking proceeding has only recently been initiated.  It was originally thought that adoption of a rule to govern the true-up cases could be deferred until 2002 or 2003, since those cases may not be filed until after Jan. 10, 2004.  Some of the competitive REPs, however, have been concerned that actions taken by the utilities, or approved by the PUC, in the interim may have consequences for the true-up—potentially resulting in unexpected and unwelcome increases in stranded costs or other non-bypassable charges in 2004.  Accordingly, the PUC staff has conducted a workshop for discussions among the parties with respect to the statutory true-up requirements, and encouraged parties to submit rule language for their consideration.  The staff intends to propose a rule to the Commissioners very soon.</w:t>
      </w:r>
    </w:p>
    <w:p>
      <w:pPr>
        <w:pStyle w:val="BodyText"/>
        <w:rPr>
          <w:sz w:val="22"/>
        </w:rPr>
      </w:pPr>
      <w:r>
        <w:rPr>
          <w:sz w:val="22"/>
        </w:rPr>
      </w:r>
    </w:p>
    <w:p>
      <w:pPr>
        <w:pStyle w:val="BodyText"/>
        <w:rPr>
          <w:sz w:val="22"/>
        </w:rPr>
      </w:pPr>
      <w:r>
        <w:rPr>
          <w:sz w:val="22"/>
        </w:rPr>
        <w:t>As can be seen from a review of the statutory provisions, the true-up proceeding will have several interrelated parts.  “Holdovers” from the regulatory paradigm, such as unrecovered fuel expenses and stranded costs, are to be reconciled, while adjustments to non-bypassable charges are to be made to recognize revenues from the capacity auctions and any excess profits resulting from PTB rates that are higher than prevailing market rates.</w:t>
      </w:r>
    </w:p>
    <w:p>
      <w:pPr>
        <w:pStyle w:val="BodyText"/>
        <w:rPr>
          <w:sz w:val="22"/>
        </w:rPr>
      </w:pPr>
      <w:r>
        <w:rPr>
          <w:sz w:val="22"/>
        </w:rPr>
      </w:r>
    </w:p>
    <w:p>
      <w:pPr>
        <w:pStyle w:val="BodyText"/>
        <w:rPr>
          <w:sz w:val="22"/>
        </w:rPr>
      </w:pPr>
      <w:r>
        <w:rPr>
          <w:sz w:val="22"/>
        </w:rPr>
        <w:t xml:space="preserve">It is likely that it will be each utility’s goal to maximize any upward adjustments to non-bypassable charges resulting from application of this rule, while minimizing any downward adjustments.  Consumers and competitors, on the other hand, will be striving for the opposite.  </w:t>
      </w:r>
    </w:p>
    <w:p>
      <w:pPr>
        <w:pStyle w:val="BodyText"/>
        <w:rPr>
          <w:sz w:val="22"/>
        </w:rPr>
      </w:pPr>
      <w:r>
        <w:rPr>
          <w:sz w:val="22"/>
        </w:rPr>
      </w:r>
    </w:p>
    <w:p>
      <w:pPr>
        <w:pStyle w:val="BodyText"/>
        <w:ind w:hanging="720" w:start="720" w:end="0"/>
        <w:rPr>
          <w:b/>
        </w:rPr>
      </w:pPr>
      <w:r>
        <w:rPr>
          <w:b/>
        </w:rPr>
        <w:t>III.</w:t>
        <w:tab/>
        <w:t>IMPLEMENTATION OF RESTRUCTURING: CONTESTED CASES</w:t>
      </w:r>
    </w:p>
    <w:p>
      <w:pPr>
        <w:pStyle w:val="Normal"/>
        <w:jc w:val="both"/>
        <w:rPr>
          <w:b/>
          <w:sz w:val="24"/>
        </w:rPr>
      </w:pPr>
      <w:r>
        <w:rPr>
          <w:b/>
          <w:sz w:val="24"/>
        </w:rPr>
      </w:r>
    </w:p>
    <w:p>
      <w:pPr>
        <w:pStyle w:val="Heading3"/>
        <w:ind w:hanging="0" w:start="0"/>
        <w:rPr/>
      </w:pPr>
      <w:r>
        <w:rPr/>
        <w:t>A.</w:t>
        <w:tab/>
        <w:t xml:space="preserve">Securitization </w:t>
      </w:r>
    </w:p>
    <w:p>
      <w:pPr>
        <w:pStyle w:val="Normal"/>
        <w:jc w:val="both"/>
        <w:rPr>
          <w:sz w:val="24"/>
          <w:u w:val="single"/>
        </w:rPr>
      </w:pPr>
      <w:r>
        <w:rPr>
          <w:sz w:val="24"/>
          <w:u w:val="single"/>
        </w:rPr>
      </w:r>
    </w:p>
    <w:p>
      <w:pPr>
        <w:pStyle w:val="BodyText"/>
        <w:keepNext w:val="true"/>
        <w:rPr>
          <w:b/>
        </w:rPr>
      </w:pPr>
      <w:r>
        <w:rPr>
          <w:b/>
        </w:rPr>
        <w:t>1.</w:t>
        <w:tab/>
        <w:t>Statutory Requirements</w:t>
      </w:r>
    </w:p>
    <w:p>
      <w:pPr>
        <w:pStyle w:val="BodyText"/>
        <w:rPr>
          <w:b/>
        </w:rPr>
      </w:pPr>
      <w:r>
        <w:rPr>
          <w:b/>
        </w:rPr>
      </w:r>
    </w:p>
    <w:p>
      <w:pPr>
        <w:pStyle w:val="BodyText"/>
        <w:rPr>
          <w:sz w:val="22"/>
        </w:rPr>
      </w:pPr>
      <w:r>
        <w:rPr>
          <w:sz w:val="22"/>
        </w:rPr>
        <w:t>Within 90 days of application by a utility to recover its stranded costs and regulatory assets in the proceeding to establish the competition transition charge or in the true-up proceeding, the Commission shall issue a financing order on making a finding that the total amount of revenues to be collected under the financing order is less than the revenue requirement that would be recovered over the remaining life of the stranded costs using conventional financing methods.</w:t>
      </w:r>
    </w:p>
    <w:p>
      <w:pPr>
        <w:pStyle w:val="BodyText"/>
        <w:rPr>
          <w:sz w:val="22"/>
        </w:rPr>
      </w:pPr>
      <w:r>
        <w:rPr>
          <w:sz w:val="22"/>
        </w:rPr>
      </w:r>
    </w:p>
    <w:p>
      <w:pPr>
        <w:pStyle w:val="BodyText"/>
        <w:rPr>
          <w:sz w:val="22"/>
        </w:rPr>
      </w:pPr>
      <w:r>
        <w:rPr>
          <w:sz w:val="22"/>
        </w:rPr>
        <w:t>The financing order shall detail the amount of stranded costs and regulatory assets to be recovered and the period over which they are to be recovered, which shall not be more than 15 years.  Charges under the financing order are to be allocated and collected in the same manner as the competition transition charges.</w:t>
      </w:r>
    </w:p>
    <w:p>
      <w:pPr>
        <w:pStyle w:val="BodyText"/>
        <w:rPr>
          <w:sz w:val="22"/>
        </w:rPr>
      </w:pPr>
      <w:r>
        <w:rPr>
          <w:sz w:val="22"/>
        </w:rPr>
      </w:r>
    </w:p>
    <w:p>
      <w:pPr>
        <w:pStyle w:val="BodyText"/>
        <w:rPr>
          <w:b/>
        </w:rPr>
      </w:pPr>
      <w:r>
        <w:rPr>
          <w:b/>
        </w:rPr>
        <w:t>2.</w:t>
        <w:tab/>
        <w:t>The Cases</w:t>
      </w:r>
    </w:p>
    <w:p>
      <w:pPr>
        <w:pStyle w:val="BodyText"/>
        <w:rPr>
          <w:b/>
        </w:rPr>
      </w:pPr>
      <w:r>
        <w:rPr>
          <w:b/>
        </w:rPr>
      </w:r>
    </w:p>
    <w:p>
      <w:pPr>
        <w:pStyle w:val="BodyText"/>
        <w:rPr>
          <w:sz w:val="22"/>
        </w:rPr>
      </w:pPr>
      <w:r>
        <w:rPr>
          <w:sz w:val="22"/>
        </w:rPr>
        <w:t>Securitization allows a utility to issue bonds based on an irrevocable order from the PUC permitting the utility to recover the stranded costs associated with above-market generating plants and regulatory assets.  Regulatory assets include such items as the capitalized operations and maintenance expenses for nuclear generating plants incurred between the time the plants were completed and the time they received rate recognition.  Because the bonds are secured by the irrevocable Commission order, they can be expected to command a lower interest rate than bonds which are not so secured.  All other things being equal, securitizing assets in this manner should reduce a utility’s overall required rate of return, thereby lowering rates for customers.</w:t>
      </w:r>
    </w:p>
    <w:p>
      <w:pPr>
        <w:pStyle w:val="BodyText"/>
        <w:rPr>
          <w:sz w:val="22"/>
        </w:rPr>
      </w:pPr>
      <w:r>
        <w:rPr>
          <w:sz w:val="22"/>
        </w:rPr>
      </w:r>
    </w:p>
    <w:p>
      <w:pPr>
        <w:pStyle w:val="BodyText"/>
        <w:rPr>
          <w:sz w:val="22"/>
        </w:rPr>
      </w:pPr>
      <w:r>
        <w:rPr>
          <w:sz w:val="22"/>
        </w:rPr>
        <w:t>Three utilities filed with the Commission in the fall of 1999 to securitize their regulatory assets.  Of the three utilities, Reliant Energy HL&amp;P and Central Power and Light Company (CPL) reached settlements with the PUC staff and most of the intervenors.  The third utility, TXU Electric Co., was not able to settle its case, and the Commission issued an order permitting the company to securitize only $300 million of its requested $1.6 billion in regulatory assets.  The Commission made a determination that because the rest of TXU’s regulatory assets were not currently earning a return, it would actually raise rates to permit them to be securitized.  TXU was able to show that securitization would be less expensive for ratepayers only by arguing for consolidating its regulatory assets, rather than permitting an asset-by-asset review, and failing to apply present value analysis to the required statutory comparison between the revenue requirement resulting from securitization and that resulting from conventional financing methods.</w:t>
      </w:r>
    </w:p>
    <w:p>
      <w:pPr>
        <w:pStyle w:val="BodyText"/>
        <w:rPr>
          <w:sz w:val="22"/>
        </w:rPr>
      </w:pPr>
      <w:r>
        <w:rPr>
          <w:sz w:val="22"/>
        </w:rPr>
      </w:r>
    </w:p>
    <w:p>
      <w:pPr>
        <w:pStyle w:val="BodyText"/>
        <w:rPr>
          <w:sz w:val="22"/>
        </w:rPr>
      </w:pPr>
      <w:r>
        <w:rPr>
          <w:sz w:val="22"/>
        </w:rPr>
        <w:t>TXU Electric has appealed the Commission’s decision.  It has been argued before the Texas Supreme Court, and the parties are awaiting a decision.  Likewise, the CPL case is before the Supreme Court, with one party arguing that the statutory scheme for the recovery of stranded costs is unconstitutional.</w:t>
      </w:r>
    </w:p>
    <w:p>
      <w:pPr>
        <w:pStyle w:val="BodyText"/>
        <w:rPr>
          <w:sz w:val="22"/>
        </w:rPr>
      </w:pPr>
      <w:r>
        <w:rPr>
          <w:sz w:val="22"/>
        </w:rPr>
      </w:r>
    </w:p>
    <w:p>
      <w:pPr>
        <w:pStyle w:val="BodyText"/>
        <w:rPr>
          <w:sz w:val="22"/>
        </w:rPr>
      </w:pPr>
      <w:r>
        <w:rPr>
          <w:sz w:val="22"/>
        </w:rPr>
        <w:t>Because of the uncertainty surrounding the Commission orders on appeal, no utility has yet issued bonds pursuant to the securitization orders.  Since the orders were issued, the Commission has made determinations in the unbundled cost of service cases described below that none of these utilities has any stranded costs.  In fact, the ECOM model has produced estimates of billions of dollars in negative stranded costs for some of the utilities.  Because the Commission’s orders are irrevocable, however, the utilities are free to issue the bonds at their discretion.  If they do, and the current estimates of negative stranded costs for these utilities are proved correct in 2004, a mechanism crediting non-bypassable charges in the amount of any securitized costs will be necessary.</w:t>
      </w:r>
    </w:p>
    <w:p>
      <w:pPr>
        <w:pStyle w:val="Normal"/>
        <w:jc w:val="both"/>
        <w:rPr>
          <w:sz w:val="28"/>
          <w:u w:val="single"/>
        </w:rPr>
      </w:pPr>
      <w:r>
        <w:rPr>
          <w:sz w:val="28"/>
          <w:u w:val="single"/>
        </w:rPr>
      </w:r>
    </w:p>
    <w:p>
      <w:pPr>
        <w:pStyle w:val="Heading3"/>
        <w:ind w:hanging="0" w:start="0"/>
        <w:rPr/>
      </w:pPr>
      <w:r>
        <w:rPr/>
        <w:t>B.</w:t>
        <w:tab/>
        <w:t>Business Separation Plans</w:t>
      </w:r>
    </w:p>
    <w:p>
      <w:pPr>
        <w:pStyle w:val="Normal"/>
        <w:jc w:val="both"/>
        <w:rPr>
          <w:b/>
          <w:sz w:val="24"/>
        </w:rPr>
      </w:pPr>
      <w:r>
        <w:rPr>
          <w:b/>
          <w:sz w:val="24"/>
        </w:rPr>
      </w:r>
    </w:p>
    <w:p>
      <w:pPr>
        <w:pStyle w:val="BodyText2"/>
        <w:rPr/>
      </w:pPr>
      <w:r>
        <w:rPr/>
        <w:t>As required by PURA, on Jan. 10, 2000 the investor-owned utilities filed plans to separate their business activities into PGCs, T&amp;D utilities, and REPs.  Only Reliant Energy, in an amended filing made in the fall of 2000, proposed to separate its regulated and unregulated businesses into independent companies, separately traded on the NY stock exchange.  The PUC staff and intervenors applauded Reliant’s proposed structural separation, but opposed its design as likely to maximize the company’s opportunities to increase its stranded costs.  Reliant’s plan was nevertheless approved by the Commission in January, 2001, and the utility has since IPO’d its unregulated businesses, including its Texas-based REP.  The other utilities’ plans were approved by the Commission in connection with their unbundled cost of service cases discussed below.</w:t>
      </w:r>
    </w:p>
    <w:p>
      <w:pPr>
        <w:pStyle w:val="Normal"/>
        <w:jc w:val="both"/>
        <w:rPr>
          <w:sz w:val="24"/>
        </w:rPr>
      </w:pPr>
      <w:r>
        <w:rPr>
          <w:sz w:val="24"/>
        </w:rPr>
      </w:r>
    </w:p>
    <w:p>
      <w:pPr>
        <w:pStyle w:val="Normal"/>
        <w:ind w:hanging="720" w:start="720" w:end="0"/>
        <w:jc w:val="both"/>
        <w:rPr>
          <w:b/>
          <w:sz w:val="24"/>
        </w:rPr>
      </w:pPr>
      <w:r>
        <w:rPr>
          <w:b/>
          <w:sz w:val="24"/>
        </w:rPr>
        <w:t>C.</w:t>
        <w:tab/>
        <w:t xml:space="preserve">Unbundled Cost of Service (UCOS) cases:  </w:t>
      </w:r>
    </w:p>
    <w:p>
      <w:pPr>
        <w:pStyle w:val="Normal"/>
        <w:ind w:start="1440" w:end="0"/>
        <w:jc w:val="both"/>
        <w:rPr>
          <w:b/>
          <w:sz w:val="28"/>
        </w:rPr>
      </w:pPr>
      <w:r>
        <w:rPr>
          <w:b/>
          <w:sz w:val="28"/>
        </w:rPr>
      </w:r>
    </w:p>
    <w:p>
      <w:pPr>
        <w:pStyle w:val="BodyText"/>
        <w:rPr>
          <w:b/>
        </w:rPr>
      </w:pPr>
      <w:r>
        <w:rPr>
          <w:b/>
        </w:rPr>
        <w:t>1.</w:t>
        <w:tab/>
        <w:t>Statutory Requirements</w:t>
      </w:r>
    </w:p>
    <w:p>
      <w:pPr>
        <w:pStyle w:val="BodyText"/>
        <w:rPr>
          <w:b/>
        </w:rPr>
      </w:pPr>
      <w:r>
        <w:rPr>
          <w:b/>
        </w:rPr>
      </w:r>
    </w:p>
    <w:p>
      <w:pPr>
        <w:pStyle w:val="BodyText"/>
        <w:rPr>
          <w:sz w:val="22"/>
        </w:rPr>
      </w:pPr>
      <w:r>
        <w:rPr>
          <w:sz w:val="22"/>
        </w:rPr>
        <w:t>By 4-1-2000, each electric utility is required to file proposed tariffs, with supporting data, for its T&amp;D utility.  This filing must also identify the unbundled generation and retail energy service costs by customer class.  The proposed tariffs shall include all nonbypassable delivery charges, including:</w:t>
      </w:r>
    </w:p>
    <w:p>
      <w:pPr>
        <w:pStyle w:val="BodyText"/>
        <w:ind w:firstLine="720" w:start="1440" w:end="0"/>
        <w:rPr>
          <w:sz w:val="22"/>
        </w:rPr>
      </w:pPr>
      <w:r>
        <w:rPr>
          <w:sz w:val="22"/>
        </w:rPr>
      </w:r>
    </w:p>
    <w:p>
      <w:pPr>
        <w:pStyle w:val="BodyText"/>
        <w:rPr>
          <w:sz w:val="22"/>
        </w:rPr>
      </w:pPr>
      <w:r>
        <w:rPr>
          <w:sz w:val="22"/>
        </w:rPr>
        <w:t>T&amp;D utility charges by customer class based on a forecasted 2002 test year;</w:t>
      </w:r>
    </w:p>
    <w:p>
      <w:pPr>
        <w:pStyle w:val="BodyText"/>
        <w:rPr>
          <w:sz w:val="22"/>
        </w:rPr>
      </w:pPr>
      <w:r>
        <w:rPr>
          <w:sz w:val="22"/>
        </w:rPr>
      </w:r>
    </w:p>
    <w:p>
      <w:pPr>
        <w:pStyle w:val="BodyText"/>
        <w:rPr>
          <w:sz w:val="22"/>
        </w:rPr>
      </w:pPr>
      <w:r>
        <w:rPr>
          <w:sz w:val="22"/>
        </w:rPr>
        <w:t>a system benefit fund fee; and</w:t>
      </w:r>
    </w:p>
    <w:p>
      <w:pPr>
        <w:pStyle w:val="BodyText"/>
        <w:rPr>
          <w:sz w:val="22"/>
        </w:rPr>
      </w:pPr>
      <w:r>
        <w:rPr>
          <w:sz w:val="22"/>
        </w:rPr>
      </w:r>
    </w:p>
    <w:p>
      <w:pPr>
        <w:pStyle w:val="BodyText"/>
        <w:rPr>
          <w:sz w:val="22"/>
        </w:rPr>
      </w:pPr>
      <w:r>
        <w:rPr>
          <w:sz w:val="22"/>
        </w:rPr>
        <w:t>an expected competition transition charge (to recover the utility’s stranded costs as they are reasonably projected to exist on the last day of the freeze period).</w:t>
      </w:r>
    </w:p>
    <w:p>
      <w:pPr>
        <w:pStyle w:val="BodyText"/>
        <w:rPr>
          <w:sz w:val="22"/>
        </w:rPr>
      </w:pPr>
      <w:r>
        <w:rPr>
          <w:sz w:val="22"/>
        </w:rPr>
      </w:r>
    </w:p>
    <w:p>
      <w:pPr>
        <w:pStyle w:val="BodyText"/>
        <w:rPr>
          <w:sz w:val="22"/>
        </w:rPr>
      </w:pPr>
      <w:r>
        <w:rPr>
          <w:sz w:val="22"/>
        </w:rPr>
        <w:t>On a schedule and under procedures it prescribes, the Commission must hold a hearing and approve, modify, and make effective as of 1-1-2002, the T&amp;D utility’s tariffs.</w:t>
      </w:r>
    </w:p>
    <w:p>
      <w:pPr>
        <w:pStyle w:val="BodyText"/>
        <w:rPr>
          <w:sz w:val="22"/>
        </w:rPr>
      </w:pPr>
      <w:r>
        <w:rPr>
          <w:sz w:val="22"/>
        </w:rPr>
      </w:r>
    </w:p>
    <w:p>
      <w:pPr>
        <w:pStyle w:val="BodyText"/>
        <w:rPr>
          <w:b/>
        </w:rPr>
      </w:pPr>
      <w:r>
        <w:rPr>
          <w:b/>
        </w:rPr>
        <w:t>2.</w:t>
        <w:tab/>
        <w:t>The Cases</w:t>
      </w:r>
    </w:p>
    <w:p>
      <w:pPr>
        <w:pStyle w:val="Normal"/>
        <w:jc w:val="both"/>
        <w:rPr>
          <w:b/>
          <w:sz w:val="24"/>
        </w:rPr>
      </w:pPr>
      <w:r>
        <w:rPr>
          <w:b/>
          <w:sz w:val="24"/>
        </w:rPr>
      </w:r>
    </w:p>
    <w:p>
      <w:pPr>
        <w:pStyle w:val="Normal"/>
        <w:jc w:val="both"/>
        <w:rPr>
          <w:sz w:val="22"/>
        </w:rPr>
      </w:pPr>
      <w:r>
        <w:rPr>
          <w:sz w:val="22"/>
        </w:rPr>
        <w:t>Because eight utilities all filed UCOS cases on the same day—March 31, 2000—the Commission set a schedule whereby all would be processed and heard seriatim, with a goal of issuing a final order on each by the end of April, 2001.  The Commission met its goal.</w:t>
      </w:r>
    </w:p>
    <w:p>
      <w:pPr>
        <w:pStyle w:val="Normal"/>
        <w:jc w:val="both"/>
        <w:rPr>
          <w:sz w:val="22"/>
        </w:rPr>
      </w:pPr>
      <w:r>
        <w:rPr>
          <w:sz w:val="22"/>
        </w:rPr>
      </w:r>
    </w:p>
    <w:p>
      <w:pPr>
        <w:pStyle w:val="Normal"/>
        <w:jc w:val="both"/>
        <w:rPr>
          <w:b/>
          <w:sz w:val="22"/>
        </w:rPr>
      </w:pPr>
      <w:r>
        <w:rPr>
          <w:b/>
          <w:sz w:val="22"/>
        </w:rPr>
        <w:t>a.</w:t>
        <w:tab/>
        <w:t>The Generic Docket</w:t>
      </w:r>
    </w:p>
    <w:p>
      <w:pPr>
        <w:pStyle w:val="Normal"/>
        <w:jc w:val="both"/>
        <w:rPr>
          <w:b/>
          <w:sz w:val="22"/>
        </w:rPr>
      </w:pPr>
      <w:r>
        <w:rPr>
          <w:b/>
          <w:sz w:val="22"/>
        </w:rPr>
      </w:r>
    </w:p>
    <w:p>
      <w:pPr>
        <w:pStyle w:val="Normal"/>
        <w:jc w:val="both"/>
        <w:rPr>
          <w:sz w:val="22"/>
        </w:rPr>
      </w:pPr>
      <w:r>
        <w:rPr>
          <w:sz w:val="22"/>
        </w:rPr>
        <w:t>A generic docket was initiated to consider and determine issues common to all the cases.  The common issues were identified by the Commission following the parties’ filing lists of suggested issues.  The  issues included a generic rate of return for a stand-alone T&amp;D utility, standard rate classes and rate design, and non-utility-specific inputs to the ECOM model.  (The ECOM model was developed by the PUC to administratively estimate stranded costs, or “excess costs over market.”)  Briefs were filed on the issues determined to involve legal questions only, and hearings were held before the Commissioners on issues requiring evidence.  Parties met on numerous occasions to attempt settlements on these issues, and non-unanimous stipulations were achieved with respect to several issues.</w:t>
      </w:r>
    </w:p>
    <w:p>
      <w:pPr>
        <w:pStyle w:val="Normal"/>
        <w:jc w:val="both"/>
        <w:rPr>
          <w:sz w:val="22"/>
        </w:rPr>
      </w:pPr>
      <w:r>
        <w:rPr>
          <w:sz w:val="22"/>
        </w:rPr>
      </w:r>
    </w:p>
    <w:p>
      <w:pPr>
        <w:pStyle w:val="Normal"/>
        <w:jc w:val="both"/>
        <w:rPr>
          <w:b/>
          <w:sz w:val="22"/>
        </w:rPr>
      </w:pPr>
      <w:r>
        <w:rPr>
          <w:b/>
          <w:sz w:val="22"/>
        </w:rPr>
        <w:t>b.</w:t>
        <w:tab/>
        <w:t>The ECOM Cases</w:t>
      </w:r>
    </w:p>
    <w:p>
      <w:pPr>
        <w:pStyle w:val="Normal"/>
        <w:jc w:val="both"/>
        <w:rPr>
          <w:b/>
          <w:sz w:val="22"/>
        </w:rPr>
      </w:pPr>
      <w:r>
        <w:rPr>
          <w:b/>
          <w:sz w:val="22"/>
        </w:rPr>
      </w:r>
    </w:p>
    <w:p>
      <w:pPr>
        <w:pStyle w:val="Normal"/>
        <w:jc w:val="both"/>
        <w:rPr>
          <w:sz w:val="22"/>
        </w:rPr>
      </w:pPr>
      <w:r>
        <w:rPr>
          <w:sz w:val="22"/>
        </w:rPr>
        <w:t>For each utility asserting the right to collect stranded costs, a schedule was set to conduct discovery and hold a hearing on the utility-specific inputs to the ECOM model.  Separate proposals for decision were issued by the administrative law judges assigned to each utility’s ECOM case.  As noted above, the use of the ECOM model, assuming the inputs recommended by the ALJs and approved by the Commissioners last month, has resulted in negative stranded costs for each utility to go to hearing.  (The ECOM model is very sensitive to changes in the price of natural gas, since there is a strong correlation between the value of coal and nuclear plants and the price of natural gas.  As the cost of the latter rises, so does the value of plants that do not rely on natural gas as a fuel.  Natural gas prices are currently higher than at any time since the late 1980’s.)  One utility, Entergy-Gulf States, reached a non-unanimous settlement with the staff and most of the intervenors in its case, and the utility agreed that it has no stranded costs.</w:t>
      </w:r>
    </w:p>
    <w:p>
      <w:pPr>
        <w:pStyle w:val="Normal"/>
        <w:jc w:val="both"/>
        <w:rPr>
          <w:sz w:val="22"/>
        </w:rPr>
      </w:pPr>
      <w:r>
        <w:rPr>
          <w:sz w:val="22"/>
        </w:rPr>
      </w:r>
    </w:p>
    <w:p>
      <w:pPr>
        <w:pStyle w:val="Normal"/>
        <w:jc w:val="both"/>
        <w:rPr>
          <w:b/>
          <w:sz w:val="22"/>
        </w:rPr>
      </w:pPr>
      <w:r>
        <w:rPr>
          <w:b/>
          <w:sz w:val="22"/>
        </w:rPr>
        <w:t>c.</w:t>
        <w:tab/>
        <w:t>The T&amp;D Cost of Service Cases</w:t>
      </w:r>
    </w:p>
    <w:p>
      <w:pPr>
        <w:pStyle w:val="Normal"/>
        <w:jc w:val="both"/>
        <w:rPr>
          <w:b/>
          <w:sz w:val="22"/>
        </w:rPr>
      </w:pPr>
      <w:r>
        <w:rPr>
          <w:b/>
          <w:sz w:val="22"/>
        </w:rPr>
      </w:r>
    </w:p>
    <w:p>
      <w:pPr>
        <w:pStyle w:val="BodyText2"/>
        <w:rPr/>
      </w:pPr>
      <w:r>
        <w:rPr/>
        <w:t xml:space="preserve">The remainder of the UCOS cases involved the determination of a reasonable revenue requirement for the unbundled T&amp;D utility.  Contested issues included the amount of invested capital that should be recognized in rates (primarily increased investment in transmission and distribution lines), as well as the reasonableness of the utilities’ estimated operations and maintenance expenses—all projected through the 2002 “rate year” as permitted by PURA.  </w:t>
      </w:r>
    </w:p>
    <w:p>
      <w:pPr>
        <w:pStyle w:val="BodyText2"/>
        <w:rPr/>
      </w:pPr>
      <w:r>
        <w:rPr/>
      </w:r>
    </w:p>
    <w:p>
      <w:pPr>
        <w:pStyle w:val="BodyText2"/>
        <w:rPr/>
      </w:pPr>
      <w:r>
        <w:rPr/>
        <w:t>The ALJs issued proposals for decision on the revenue requirement issues in March, and the Commission, with few exceptions, approved the ALJs’ PFDs in April, 2001.  The Commission staff has been running the numbers to calculate rates, including meeting with the parties to resolve disputes as to calculations.  Pursuant to the Commissioners’ direction, the staff has been filing memoranda with the results of their calculations and circulating the expected rates to market participants, so that reasonably firm offers can be made to prospective customers by REPs hoping to compete in the pilot projects in June.</w:t>
      </w:r>
    </w:p>
    <w:p>
      <w:pPr>
        <w:pStyle w:val="BodyText2"/>
        <w:rPr/>
      </w:pPr>
      <w:r>
        <w:rPr/>
      </w:r>
    </w:p>
    <w:p>
      <w:pPr>
        <w:pStyle w:val="BodyText2"/>
        <w:rPr>
          <w:b/>
          <w:sz w:val="24"/>
        </w:rPr>
      </w:pPr>
      <w:r>
        <w:rPr>
          <w:b/>
          <w:sz w:val="24"/>
        </w:rPr>
        <w:t>IV.</w:t>
        <w:tab/>
        <w:t>WHAT’S NEXT?</w:t>
      </w:r>
    </w:p>
    <w:p>
      <w:pPr>
        <w:pStyle w:val="Normal"/>
        <w:jc w:val="both"/>
        <w:rPr>
          <w:b/>
          <w:sz w:val="22"/>
        </w:rPr>
      </w:pPr>
      <w:r>
        <w:rPr>
          <w:b/>
          <w:sz w:val="22"/>
        </w:rPr>
      </w:r>
    </w:p>
    <w:p>
      <w:pPr>
        <w:pStyle w:val="BodyText2"/>
        <w:rPr/>
      </w:pPr>
      <w:r>
        <w:rPr/>
        <w:t>The Commission approved the ERCOT Protocols in February, 2001.  The order approving the Protocols included directions to ERCOT for certain changes to the Protocols, adopted by the Commissioners to minimize potential gaming opportunities by wholesale market participants that could lead to unnecessarily high prices for consumers.  ERCOT committees have been meeting to consider and vote on the changes recommended by the PUC.</w:t>
      </w:r>
    </w:p>
    <w:p>
      <w:pPr>
        <w:pStyle w:val="Normal"/>
        <w:jc w:val="both"/>
        <w:rPr>
          <w:sz w:val="22"/>
        </w:rPr>
      </w:pPr>
      <w:r>
        <w:rPr>
          <w:sz w:val="22"/>
        </w:rPr>
      </w:r>
    </w:p>
    <w:p>
      <w:pPr>
        <w:pStyle w:val="Normal"/>
        <w:jc w:val="both"/>
        <w:rPr>
          <w:sz w:val="22"/>
        </w:rPr>
      </w:pPr>
      <w:r>
        <w:rPr>
          <w:sz w:val="22"/>
        </w:rPr>
        <w:t xml:space="preserve">The pilot projects are still expected to begin on June 1, 2001.  However, the settlement mechanisms and procedures for wholesale transactions depend on the transition to a single control area.  Because that transition is now being phased in and will not be completed until July 6, 2001, power will not begin flowing to switched customers until that date.  </w:t>
      </w:r>
    </w:p>
    <w:p>
      <w:pPr>
        <w:pStyle w:val="Normal"/>
        <w:jc w:val="both"/>
        <w:rPr>
          <w:sz w:val="22"/>
        </w:rPr>
      </w:pPr>
      <w:r>
        <w:rPr>
          <w:sz w:val="22"/>
        </w:rPr>
      </w:r>
    </w:p>
    <w:p>
      <w:pPr>
        <w:pStyle w:val="Normal"/>
        <w:jc w:val="both"/>
        <w:rPr>
          <w:sz w:val="22"/>
        </w:rPr>
      </w:pPr>
      <w:r>
        <w:rPr>
          <w:sz w:val="22"/>
        </w:rPr>
        <w:t>For TXU Electric and Reliant Energy, willing participants in the pilot projects have far exceeded the 5% cap for the commercial and industrial classes, and lotteries have been held to determine who gets to choose another electricity supplier in June.  Residential customers have been more reluctant to move from the incumbent utility, although new competitors such as Green Mountain Energy and The New Power Company have gained significant market share among the eligible residential customers of these utilities.</w:t>
      </w:r>
    </w:p>
    <w:p>
      <w:pPr>
        <w:pStyle w:val="Normal"/>
        <w:jc w:val="both"/>
        <w:rPr>
          <w:sz w:val="22"/>
        </w:rPr>
      </w:pPr>
      <w:r>
        <w:rPr>
          <w:sz w:val="22"/>
        </w:rPr>
      </w:r>
    </w:p>
    <w:p>
      <w:pPr>
        <w:pStyle w:val="Normal"/>
        <w:jc w:val="both"/>
        <w:rPr>
          <w:sz w:val="22"/>
        </w:rPr>
      </w:pPr>
      <w:r>
        <w:rPr>
          <w:sz w:val="22"/>
        </w:rPr>
        <w:t>Competitive “headroom” appears to be healthy at this time in most utility service areas.  Competitors are expected to have a harder time in the service area of low cost utilities, such as SWEPCO in northeast Texas and LCRA in central Texas.  At this time, as noted above, it appears that the Legislature will exempt customers in the service area of Southwestern Public Service Company in the Panhandle from competition for the near future, due to fears that competition may lead to higher, not lower, prices in that transmission-constrained area.</w:t>
      </w:r>
    </w:p>
    <w:p>
      <w:pPr>
        <w:pStyle w:val="Normal"/>
        <w:jc w:val="both"/>
        <w:rPr>
          <w:sz w:val="22"/>
        </w:rPr>
      </w:pPr>
      <w:r>
        <w:rPr>
          <w:sz w:val="22"/>
        </w:rPr>
      </w:r>
    </w:p>
    <w:p>
      <w:pPr>
        <w:pStyle w:val="BodyTextIndent3"/>
        <w:ind w:start="0" w:end="0"/>
        <w:rPr>
          <w:sz w:val="22"/>
        </w:rPr>
      </w:pPr>
      <w:r>
        <w:rPr>
          <w:sz w:val="22"/>
        </w:rPr>
        <w:t xml:space="preserve">What will Customer Choice mean for regulatory attorneys?  The contested cases of the future will be T&amp;D utility rate cases, T&amp;D utility applications for certificates of convenience and necessity for new transmission lines (increasingly opposed by homeowners and property-rights activists), and market power complaints.  The Commission has created a market oversight division (affectionately known as the “MOD squad”) to oversee the design and operation of the wholesale and retail markets in Texas, watch for price spikes and volatility, and investigate complaints.  Regulatory attorneys will be needed to assist competitors and customers, and to defend incumbents, involved in these activities.  The Commission will need to design new procedural rules to handle market power complaints expeditiously (like Chairman Wood’s “rope ‘em and throw ‘em” docket), offering complainants and defendants swift justice consistent with due process.  The fast and unforgiving pace mandated by competitive markets, compared to the glacial processes of regulation, means that justice delayed will be justice denied.  </w:t>
      </w:r>
    </w:p>
    <w:p>
      <w:pPr>
        <w:pStyle w:val="BodyTextIndent3"/>
        <w:ind w:start="0" w:end="0"/>
        <w:rPr>
          <w:sz w:val="22"/>
        </w:rPr>
      </w:pPr>
      <w:r>
        <w:rPr>
          <w:sz w:val="22"/>
        </w:rPr>
      </w:r>
    </w:p>
    <w:p>
      <w:pPr>
        <w:pStyle w:val="BodyTextIndent3"/>
        <w:ind w:start="0" w:end="0"/>
        <w:rPr>
          <w:sz w:val="22"/>
        </w:rPr>
      </w:pPr>
      <w:r>
        <w:rPr>
          <w:sz w:val="22"/>
        </w:rPr>
        <w:t xml:space="preserve">Members of the utility bar practicing before the PUC these past two years have learned that it is possible to complete a massive number of rulemakings and contested cases in an extremely short time, while ensuring that all views are heard and all parties’ rights are respected.  All it takes is hard work, little sleep, and no vacations.  </w:t>
      </w:r>
    </w:p>
    <w:p>
      <w:pPr>
        <w:pStyle w:val="Normal"/>
        <w:ind w:start="1440" w:end="0"/>
        <w:jc w:val="both"/>
        <w:rPr>
          <w:sz w:val="28"/>
        </w:rPr>
      </w:pPr>
      <w:r>
        <w:rPr>
          <w:sz w:val="28"/>
        </w:rPr>
      </w:r>
    </w:p>
    <w:p>
      <w:pPr>
        <w:pStyle w:val="Normal"/>
        <w:ind w:start="2160" w:end="0"/>
        <w:jc w:val="both"/>
        <w:rPr>
          <w:sz w:val="28"/>
        </w:rPr>
      </w:pPr>
      <w:r>
        <w:rPr>
          <w:sz w:val="28"/>
        </w:rPr>
      </w:r>
    </w:p>
    <w:sectPr>
      <w:type w:val="continuous"/>
      <w:pgSz w:w="12240" w:h="15840"/>
      <w:pgMar w:left="1440" w:right="1440" w:gutter="0" w:header="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5943600"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93370"/>
                      </a:xfrm>
                      <a:prstGeom prst="rect"/>
                      <a:solidFill>
                        <a:srgbClr val="FFFFFF">
                          <a:alpha val="0"/>
                        </a:srgbClr>
                      </a:solidFill>
                    </wps:spPr>
                    <wps:txbx>
                      <w:txbxContent>
                        <w:p>
                          <w:pPr>
                            <w:pStyle w:val="Footer"/>
                            <w:rPr>
                              <w:rStyle w:val="PageNumber"/>
                            </w:rPr>
                          </w:pPr>
                          <w:r>
                            <w:rPr/>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68pt;height:23.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ind w:end="360"/>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ind w:hanging="0" w:start="1440" w:end="0"/>
      <w:jc w:val="both"/>
      <w:outlineLvl w:val="1"/>
    </w:pPr>
    <w:rPr>
      <w:sz w:val="28"/>
      <w:u w:val="single"/>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numPr>
        <w:ilvl w:val="0"/>
        <w:numId w:val="2"/>
      </w:numPr>
      <w:jc w:val="both"/>
    </w:pPr>
    <w:rPr>
      <w:b/>
      <w:sz w:val="24"/>
    </w:rPr>
  </w:style>
  <w:style w:type="paragraph" w:styleId="BodyTextIndent2">
    <w:name w:val="Body Text Indent 2"/>
    <w:basedOn w:val="Normal"/>
    <w:qFormat/>
    <w:pPr>
      <w:ind w:hanging="720" w:start="2160" w:end="0"/>
      <w:jc w:val="both"/>
    </w:pPr>
    <w:rPr>
      <w:sz w:val="28"/>
    </w:rPr>
  </w:style>
  <w:style w:type="paragraph" w:styleId="BodyText2">
    <w:name w:val="Body Text 2"/>
    <w:basedOn w:val="Normal"/>
    <w:qFormat/>
    <w:pPr>
      <w:jc w:val="both"/>
    </w:pPr>
    <w:rPr>
      <w:sz w:val="22"/>
    </w:rPr>
  </w:style>
  <w:style w:type="paragraph" w:styleId="BodyText3">
    <w:name w:val="Body Text 3"/>
    <w:basedOn w:val="Normal"/>
    <w:qFormat/>
    <w:pPr/>
    <w:rPr>
      <w:sz w:val="22"/>
    </w:rPr>
  </w:style>
  <w:style w:type="paragraph" w:styleId="BodyTextIndent3">
    <w:name w:val="Body Text Indent 3"/>
    <w:basedOn w:val="Normal"/>
    <w:qFormat/>
    <w:pPr>
      <w:ind w:hanging="0" w:start="720" w:end="0"/>
      <w:jc w:val="both"/>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2001-05-18T18:38:00Z</dcterms:created>
  <dc:creator>Marianne Carroll</dc:creator>
  <dc:description/>
  <dc:language>en-CA</dc:language>
  <cp:lastModifiedBy>Marieanne</cp:lastModifiedBy>
  <cp:lastPrinted>2001-05-18T09:53:00Z</cp:lastPrinted>
  <dcterms:modified xsi:type="dcterms:W3CDTF">2001-05-18T18:38:00Z</dcterms:modified>
  <cp:revision>2</cp:revision>
  <dc:subject/>
  <dc:title>ENERGY BAR ASSOCIATION</dc:title>
</cp:coreProperties>
</file>