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South Jersey Industries, Inc. shall have defaulted on its indebted</w:t>
        <w:softHyphen/>
        <w:t xml:space="preserve">ness to third parties, resulting in an acceleration of obligations of South Jersey Industries,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$4,000,000, then Company as the Beneficiary Party may request Customer to establish a Letter of Credit as the Account Party in an amount equal to the Termination Payment in excess of $4,000,000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SOUTH JERSEY RESOURCES GROUP, LLC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/mnt/main-storage/datasets/enron-docs/doc/South_Jersey_Resources_Group-e36ed66e3821bb6b22bacf24477ec50ca7c4443a47918995c0e54d1facb70037.doc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Customer, Customer’s ultimate parent, South Jersey Industries,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2 to 1; or (b)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South Jersey Resources Group, L.L.C.</w:t>
      </w:r>
    </w:p>
    <w:p>
      <w:pPr>
        <w:pStyle w:val="Normal"/>
        <w:jc w:val="both"/>
        <w:rPr>
          <w:rFonts w:ascii="Arial Narrow" w:hAnsi="Arial Narrow" w:cs="Arial Narrow"/>
          <w:sz w:val="18"/>
        </w:rPr>
      </w:pPr>
      <w:r>
        <w:rPr>
          <w:rFonts w:cs="Arial Narrow" w:ascii="Arial Narrow" w:hAnsi="Arial Narrow"/>
          <w:sz w:val="18"/>
        </w:rPr>
        <w:t>1 South Jersey Plaza</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South Jersey Industries, Inc., a New Jersey limited liability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South Jersey Resources Group,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SOUTH JERSEY INDUSTIRES, INC.                     </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rFonts w:ascii="Arial Narrow" w:hAnsi="Arial Narrow" w:cs="Arial Narrow"/>
          <w:sz w:val="18"/>
        </w:rPr>
      </w:pPr>
      <w:r>
        <w:rPr>
          <w:rFonts w:cs="Arial Narrow" w:ascii="Arial Narrow" w:hAnsi="Arial Narrow"/>
          <w:sz w:val="18"/>
          <w:u w:val="single"/>
        </w:rPr>
        <w:tab/>
        <w:tab/>
        <w:tab/>
        <w:t xml:space="preserve">      </w:t>
      </w:r>
      <w:r>
        <w:rPr>
          <w:rFonts w:cs="Arial Narrow" w:ascii="Arial Narrow" w:hAnsi="Arial Narrow"/>
          <w:sz w:val="18"/>
        </w:rPr>
        <w:tab/>
        <w:tab/>
      </w:r>
      <w:r>
        <w:rPr>
          <w:rFonts w:cs="Arial Narrow" w:ascii="Arial Narrow" w:hAnsi="Arial Narrow"/>
          <w:sz w:val="18"/>
          <w:u w:val="single"/>
        </w:rPr>
        <w:tab/>
        <w:tab/>
        <w:tab/>
        <w:t>___</w:t>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 xml:space="preserve">      </w:t>
      </w:r>
      <w:r>
        <w:rPr>
          <w:rFonts w:cs="Arial Narrow" w:ascii="Arial Narrow" w:hAnsi="Arial Narrow"/>
          <w:sz w:val="18"/>
        </w:rPr>
        <w:tab/>
        <w:tab/>
        <w:tab/>
        <w:t xml:space="preserve">By </w:t>
      </w:r>
      <w:r>
        <w:rPr>
          <w:rFonts w:cs="Arial Narrow" w:ascii="Arial Narrow" w:hAnsi="Arial Narrow"/>
          <w:sz w:val="18"/>
          <w:u w:val="single"/>
        </w:rPr>
        <w:tab/>
        <w:tab/>
        <w:tab/>
        <w:t>___</w:t>
      </w:r>
    </w:p>
    <w:p>
      <w:pPr>
        <w:pStyle w:val="Normal"/>
        <w:jc w:val="both"/>
        <w:rPr/>
      </w:pPr>
      <w:r>
        <w:rPr>
          <w:rFonts w:cs="Arial Narrow" w:ascii="Arial Narrow" w:hAnsi="Arial Narrow"/>
          <w:sz w:val="18"/>
        </w:rPr>
        <w:t>Title</w:t>
      </w:r>
      <w:r>
        <w:rPr>
          <w:rFonts w:cs="Arial Narrow" w:ascii="Arial Narrow" w:hAnsi="Arial Narrow"/>
          <w:sz w:val="18"/>
          <w:u w:val="single"/>
        </w:rPr>
        <w:tab/>
        <w:tab/>
        <w:tab/>
        <w:t xml:space="preserve">      </w:t>
      </w:r>
      <w:r>
        <w:rPr>
          <w:rFonts w:cs="Arial Narrow" w:ascii="Arial Narrow" w:hAnsi="Arial Narrow"/>
          <w:sz w:val="18"/>
        </w:rPr>
        <w:tab/>
        <w:t xml:space="preserve"> </w:t>
        <w:tab/>
        <w:tab/>
        <w:t>Title</w:t>
      </w:r>
      <w:r>
        <w:rPr>
          <w:rFonts w:cs="Arial Narrow" w:ascii="Arial Narrow" w:hAnsi="Arial Narrow"/>
          <w:sz w:val="18"/>
          <w:u w:val="single"/>
        </w:rPr>
        <w:tab/>
        <w:tab/>
        <w:tab/>
        <w:t>___</w:t>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2001-04-06T16:49:00Z</dcterms:created>
  <dc:creator>dperlin</dc:creator>
  <dc:description/>
  <dc:language>en-CA</dc:language>
  <cp:lastModifiedBy>dperlin</cp:lastModifiedBy>
  <cp:lastPrinted>2001-07-25T11:38:00Z</cp:lastPrinted>
  <dcterms:modified xsi:type="dcterms:W3CDTF">2001-07-25T14:10:00Z</dcterms:modified>
  <cp:revision>11</cp:revision>
  <dc:subject/>
  <dc:title>ENFOLIO® MASTER FIRM PURCHASE/SALE AGREEMENT</dc:title>
</cp:coreProperties>
</file>