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South Jersey Resources Group, LLC, a New Jersey 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South Jersey Industries, Inc. shall have defaulted on its indebted</w:t>
        <w:softHyphen/>
        <w:t xml:space="preserve">ness to third parties, resulting in an acceleration of obligations of South Jersey Industries, Inc.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$15,000,000 then Customer as the Beneficiary Party may request the Company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$2,500,000, then Company as the Beneficiary Party may request Customer to establish a Letter of Credit as the Account Party in an amount equal to the Termination Payment in excess of $2,500,000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u w:val="single"/>
        </w:rPr>
        <w:t>4.7.  Setoff.</w:t>
      </w:r>
      <w:r>
        <w:rPr>
          <w:rFonts w:cs="Arial Narrow" w:ascii="Arial Narrow" w:hAnsi="Arial Narrow"/>
          <w:sz w:val="18"/>
        </w:rPr>
        <w:t xml:space="preserve">  (A) Upon the designation or deemed designation of an Early Termination Date, the Notifying Party (“X”) may, at its option and in its discretion, setoff, against any amounts Owed to the Affected Party (“Y”) by X or any Affiliate of X under this Agreement or under any other agreement(s), instrument(s) or undertaking(s), any amounts Owed by Y to X or any of X’s Affiliates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4.7</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4.7</w:t>
      </w:r>
      <w:r>
        <w:rPr>
          <w:rFonts w:cs="Arial Narrow" w:ascii="Arial Narrow" w:hAnsi="Arial Narrow"/>
          <w:sz w:val="18"/>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4.7</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 xml:space="preserve">Section 4.7 </w:t>
      </w:r>
      <w:r>
        <w:rPr>
          <w:rFonts w:cs="Arial Narrow" w:ascii="Arial Narrow" w:hAnsi="Arial Narrow"/>
          <w:sz w:val="18"/>
        </w:rPr>
        <w:t xml:space="preserve">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4.7</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4.7</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4.7</w:t>
      </w:r>
      <w:r>
        <w:rPr>
          <w:rFonts w:cs="Arial Narrow" w:ascii="Arial Narrow" w:hAnsi="Arial Narrow"/>
          <w:sz w:val="18"/>
        </w:rPr>
        <w:t>.</w:t>
      </w:r>
    </w:p>
    <w:p>
      <w:pPr>
        <w:pStyle w:val="Normal"/>
        <w:jc w:val="both"/>
        <w:rPr/>
      </w:pPr>
      <w:r>
        <w:rPr/>
        <w:tab/>
      </w:r>
      <w:r>
        <w:rPr>
          <w:rFonts w:cs="Arial Narrow" w:ascii="Arial Narrow" w:hAnsi="Arial Narrow"/>
          <w:sz w:val="18"/>
        </w:rPr>
        <w:t xml:space="preserve">(B)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4.7</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SOUTH JERSEY RESOURCES GROUP, LLC</w:t>
      </w:r>
    </w:p>
    <w:p>
      <w:pPr>
        <w:pStyle w:val="Normal"/>
        <w:tabs>
          <w:tab w:val="clear" w:pos="720"/>
          <w:tab w:val="left" w:pos="4050" w:leader="none"/>
          <w:tab w:val="left" w:pos="5400" w:leader="none"/>
          <w:tab w:val="left" w:pos="9360" w:leader="none"/>
        </w:tabs>
        <w:rPr>
          <w:rFonts w:ascii="Arial Narrow" w:hAnsi="Arial Narrow" w:cs="Arial Narrow"/>
          <w:b/>
          <w:bCs/>
          <w:sz w:val="18"/>
          <w:u w:val="single"/>
        </w:rPr>
      </w:pPr>
      <w:r>
        <w:rPr>
          <w:rFonts w:cs="Arial Narrow" w:ascii="Arial Narrow" w:hAnsi="Arial Narrow"/>
          <w:b/>
          <w:bCs/>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/mnt/main-storage/datasets/enron-docs/doc/South_Jersey_Resources_Group-764b80fab7b6c02364227ebea75ef859cd4834f1deef4572fec048f5dfec6170.doc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South Jersey Industries,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Customer's Guarantor shall have any of the following occurring at any time (a) the ratio of its Funded Debt  to its Net Worth is greater than 2 to 1; or (b) that ratio of its  EBITDA to Interest Expense is less than 3 to 1. </w:t>
        <w:softHyphen/>
        <w:softHyphen/>
        <w:softHyphen/>
        <w:softHyphen/>
        <w:softHyphen/>
        <w:softHyphen/>
        <w:softHyphen/>
        <w:softHyphen/>
        <w:softHyphen/>
        <w:softHyphen/>
        <w:softHyphen/>
        <w:softHyphen/>
        <w:softHyphen/>
        <w:softHyphen/>
        <w:softHyphen/>
        <w:softHyphen/>
        <w:softHyphen/>
        <w:softHyphen/>
        <w:softHyphen/>
        <w:softHyphen/>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South Jersey Resources Group, L.L.C.</w:t>
      </w:r>
    </w:p>
    <w:p>
      <w:pPr>
        <w:pStyle w:val="Normal"/>
        <w:jc w:val="both"/>
        <w:rPr>
          <w:rFonts w:ascii="Arial Narrow" w:hAnsi="Arial Narrow" w:cs="Arial Narrow"/>
          <w:sz w:val="18"/>
        </w:rPr>
      </w:pPr>
      <w:r>
        <w:rPr>
          <w:rFonts w:cs="Arial Narrow" w:ascii="Arial Narrow" w:hAnsi="Arial Narrow"/>
          <w:sz w:val="18"/>
        </w:rPr>
        <w:t>1 South Jersey Plaza</w:t>
      </w:r>
    </w:p>
    <w:p>
      <w:pPr>
        <w:pStyle w:val="Normal"/>
        <w:jc w:val="both"/>
        <w:rPr>
          <w:rFonts w:ascii="Arial Narrow" w:hAnsi="Arial Narrow" w:cs="Arial Narrow"/>
          <w:sz w:val="18"/>
        </w:rPr>
      </w:pPr>
      <w:r>
        <w:rPr>
          <w:rFonts w:cs="Arial Narrow" w:ascii="Arial Narrow" w:hAnsi="Arial Narrow"/>
          <w:sz w:val="18"/>
        </w:rPr>
        <w:t>Folsom, New Jersey 08037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South Jersey Resources Group, LLC, a New Jersey limited liability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SOUTH JERSEY RESOURCES GROUP,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South Jersey Industries, Inc., a _______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South Jersey Resources Group,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SOUTH JERSEY INDUSTIRES, INC.                     </w:t>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3990" w:leader="none"/>
        </w:tabs>
        <w:jc w:val="both"/>
        <w:rPr>
          <w:rFonts w:ascii="Arial Narrow" w:hAnsi="Arial Narrow" w:cs="Arial Narrow"/>
          <w:sz w:val="18"/>
        </w:rPr>
      </w:pPr>
      <w:r>
        <w:rPr>
          <w:rFonts w:cs="Arial Narrow" w:ascii="Arial Narrow" w:hAnsi="Arial Narrow"/>
          <w:sz w:val="18"/>
          <w:u w:val="single"/>
        </w:rPr>
        <w:tab/>
        <w:tab/>
        <w:tab/>
        <w:t xml:space="preserve">      </w:t>
      </w:r>
      <w:r>
        <w:rPr>
          <w:rFonts w:cs="Arial Narrow" w:ascii="Arial Narrow" w:hAnsi="Arial Narrow"/>
          <w:sz w:val="18"/>
        </w:rPr>
        <w:tab/>
        <w:tab/>
      </w:r>
      <w:r>
        <w:rPr>
          <w:rFonts w:cs="Arial Narrow" w:ascii="Arial Narrow" w:hAnsi="Arial Narrow"/>
          <w:sz w:val="18"/>
          <w:u w:val="single"/>
        </w:rPr>
        <w:tab/>
        <w:tab/>
        <w:tab/>
        <w:t>___</w:t>
      </w:r>
    </w:p>
    <w:p>
      <w:pPr>
        <w:pStyle w:val="Normal"/>
        <w:jc w:val="both"/>
        <w:rPr/>
      </w:pPr>
      <w:r>
        <w:rPr>
          <w:rFonts w:cs="Arial Narrow" w:ascii="Arial Narrow" w:hAnsi="Arial Narrow"/>
          <w:sz w:val="18"/>
        </w:rPr>
        <w:t xml:space="preserve">By </w:t>
      </w:r>
      <w:r>
        <w:rPr>
          <w:rFonts w:cs="Arial Narrow" w:ascii="Arial Narrow" w:hAnsi="Arial Narrow"/>
          <w:sz w:val="18"/>
          <w:u w:val="single"/>
        </w:rPr>
        <w:tab/>
        <w:tab/>
        <w:tab/>
        <w:t xml:space="preserve">      </w:t>
      </w:r>
      <w:r>
        <w:rPr>
          <w:rFonts w:cs="Arial Narrow" w:ascii="Arial Narrow" w:hAnsi="Arial Narrow"/>
          <w:sz w:val="18"/>
        </w:rPr>
        <w:tab/>
        <w:tab/>
        <w:tab/>
        <w:t xml:space="preserve">By </w:t>
      </w:r>
      <w:r>
        <w:rPr>
          <w:rFonts w:cs="Arial Narrow" w:ascii="Arial Narrow" w:hAnsi="Arial Narrow"/>
          <w:sz w:val="18"/>
          <w:u w:val="single"/>
        </w:rPr>
        <w:tab/>
        <w:tab/>
        <w:tab/>
        <w:t>___</w:t>
      </w:r>
    </w:p>
    <w:p>
      <w:pPr>
        <w:pStyle w:val="Normal"/>
        <w:jc w:val="both"/>
        <w:rPr/>
      </w:pPr>
      <w:r>
        <w:rPr>
          <w:rFonts w:cs="Arial Narrow" w:ascii="Arial Narrow" w:hAnsi="Arial Narrow"/>
          <w:sz w:val="18"/>
        </w:rPr>
        <w:t>Title</w:t>
      </w:r>
      <w:r>
        <w:rPr>
          <w:rFonts w:cs="Arial Narrow" w:ascii="Arial Narrow" w:hAnsi="Arial Narrow"/>
          <w:sz w:val="18"/>
          <w:u w:val="single"/>
        </w:rPr>
        <w:tab/>
        <w:tab/>
        <w:tab/>
        <w:t xml:space="preserve">      </w:t>
      </w:r>
      <w:r>
        <w:rPr>
          <w:rFonts w:cs="Arial Narrow" w:ascii="Arial Narrow" w:hAnsi="Arial Narrow"/>
          <w:sz w:val="18"/>
        </w:rPr>
        <w:tab/>
        <w:t xml:space="preserve"> </w:t>
        <w:tab/>
        <w:tab/>
        <w:t>Title</w:t>
      </w:r>
      <w:r>
        <w:rPr>
          <w:rFonts w:cs="Arial Narrow" w:ascii="Arial Narrow" w:hAnsi="Arial Narrow"/>
          <w:sz w:val="18"/>
          <w:u w:val="single"/>
        </w:rPr>
        <w:tab/>
        <w:tab/>
        <w:tab/>
        <w:t>___</w:t>
      </w:r>
    </w:p>
    <w:sectPr>
      <w:footerReference w:type="default" r:id="rId16"/>
      <w:footerReference w:type="first" r:id="rId17"/>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2001-04-06T16:49:00Z</dcterms:created>
  <dc:creator>dperlin</dc:creator>
  <dc:description/>
  <dc:language>en-CA</dc:language>
  <cp:lastModifiedBy>dperlin</cp:lastModifiedBy>
  <cp:lastPrinted>2001-08-20T11:45:00Z</cp:lastPrinted>
  <dcterms:modified xsi:type="dcterms:W3CDTF">2001-08-20T14:15:00Z</dcterms:modified>
  <cp:revision>15</cp:revision>
  <dc:subject/>
  <dc:title>ENFOLIO® MASTER FIRM PURCHASE/SALE AGREEMENT</dc:title>
</cp:coreProperties>
</file>