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00" w:after="0"/>
        <w:jc w:val="center"/>
        <w:rPr>
          <w:rFonts w:ascii="Times New Roman" w:hAnsi="Times New Roman" w:cs="Times New Roman"/>
          <w:sz w:val="22"/>
        </w:rPr>
      </w:pPr>
      <w:r>
        <w:rPr>
          <w:rFonts w:cs="Times New Roman" w:ascii="Times New Roman" w:hAnsi="Times New Roman"/>
          <w:sz w:val="22"/>
        </w:rPr>
      </w:r>
    </w:p>
    <w:p>
      <w:pPr>
        <w:pStyle w:val="Normal"/>
        <w:spacing w:before="240" w:after="0"/>
        <w:jc w:val="center"/>
        <w:rPr>
          <w:rFonts w:ascii="Times New Roman" w:hAnsi="Times New Roman" w:cs="Times New Roman"/>
          <w:sz w:val="22"/>
        </w:rPr>
      </w:pPr>
      <w:r>
        <w:rPr>
          <w:rFonts w:cs="Times New Roman" w:ascii="Times New Roman" w:hAnsi="Times New Roman"/>
          <w:sz w:val="22"/>
        </w:rPr>
      </w:r>
    </w:p>
    <w:p>
      <w:pPr>
        <w:pStyle w:val="Normal"/>
        <w:spacing w:before="960" w:after="0"/>
        <w:jc w:val="center"/>
        <w:rPr>
          <w:rFonts w:ascii="Times New Roman" w:hAnsi="Times New Roman" w:cs="Times New Roman"/>
          <w:sz w:val="22"/>
        </w:rPr>
      </w:pPr>
      <w:r>
        <w:rPr>
          <w:rFonts w:cs="Times New Roman" w:ascii="Times New Roman" w:hAnsi="Times New Roman"/>
          <w:sz w:val="22"/>
        </w:rPr>
        <w:t>October 18, 1999</w:t>
      </w:r>
    </w:p>
    <w:p>
      <w:pPr>
        <w:pStyle w:val="Normal"/>
        <w:spacing w:before="360" w:after="0"/>
        <w:jc w:val="center"/>
        <w:rPr>
          <w:rFonts w:ascii="Times New Roman" w:hAnsi="Times New Roman" w:cs="Times New Roman"/>
          <w:sz w:val="22"/>
        </w:rPr>
      </w:pPr>
      <w:r>
        <w:rPr>
          <w:rFonts w:cs="Times New Roman" w:ascii="Times New Roman" w:hAnsi="Times New Roman"/>
          <w:sz w:val="22"/>
        </w:rPr>
      </w:r>
    </w:p>
    <w:p>
      <w:pPr>
        <w:pStyle w:val="Heading1"/>
        <w:spacing w:before="0" w:after="0"/>
        <w:ind w:hanging="0" w:start="0"/>
        <w:rPr/>
      </w:pPr>
      <w:r>
        <w:rPr/>
        <w:t>VIA FACSIMILE  011-2711-240 5111</w:t>
      </w:r>
    </w:p>
    <w:p>
      <w:pPr>
        <w:pStyle w:val="Heading1"/>
        <w:spacing w:before="0" w:after="0"/>
        <w:ind w:hanging="0" w:start="0"/>
        <w:rPr/>
      </w:pPr>
      <w:r>
        <w:rPr/>
        <w:t>AND FEDERAL EXPRESS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Webber Wentzel Bowens</w:t>
      </w:r>
    </w:p>
    <w:p>
      <w:pPr>
        <w:pStyle w:val="Normal"/>
        <w:jc w:val="both"/>
        <w:rPr>
          <w:rFonts w:ascii="Times New Roman" w:hAnsi="Times New Roman" w:cs="Times New Roman"/>
          <w:sz w:val="22"/>
        </w:rPr>
      </w:pPr>
      <w:r>
        <w:rPr>
          <w:rFonts w:cs="Times New Roman" w:ascii="Times New Roman" w:hAnsi="Times New Roman"/>
          <w:sz w:val="22"/>
        </w:rPr>
        <w:t xml:space="preserve">60 Main Street </w:t>
      </w:r>
    </w:p>
    <w:p>
      <w:pPr>
        <w:pStyle w:val="Normal"/>
        <w:jc w:val="both"/>
        <w:rPr>
          <w:rFonts w:ascii="Times New Roman" w:hAnsi="Times New Roman" w:cs="Times New Roman"/>
          <w:sz w:val="22"/>
        </w:rPr>
      </w:pPr>
      <w:r>
        <w:rPr>
          <w:rFonts w:cs="Times New Roman" w:ascii="Times New Roman" w:hAnsi="Times New Roman"/>
          <w:sz w:val="22"/>
        </w:rPr>
        <w:t>P.O. Box 61771 Marshalltown 2107</w:t>
      </w:r>
    </w:p>
    <w:p>
      <w:pPr>
        <w:pStyle w:val="Normal"/>
        <w:jc w:val="both"/>
        <w:rPr>
          <w:rFonts w:ascii="Times New Roman" w:hAnsi="Times New Roman" w:cs="Times New Roman"/>
          <w:sz w:val="22"/>
        </w:rPr>
      </w:pPr>
      <w:r>
        <w:rPr>
          <w:rFonts w:cs="Times New Roman" w:ascii="Times New Roman" w:hAnsi="Times New Roman"/>
          <w:sz w:val="22"/>
        </w:rPr>
        <w:t>Johannesburg</w:t>
      </w:r>
    </w:p>
    <w:p>
      <w:pPr>
        <w:pStyle w:val="Normal"/>
        <w:jc w:val="both"/>
        <w:rPr>
          <w:rFonts w:ascii="Times New Roman" w:hAnsi="Times New Roman" w:cs="Times New Roman"/>
          <w:sz w:val="22"/>
        </w:rPr>
      </w:pPr>
      <w:r>
        <w:rPr>
          <w:rFonts w:cs="Times New Roman" w:ascii="Times New Roman" w:hAnsi="Times New Roman"/>
          <w:sz w:val="22"/>
        </w:rPr>
        <w:t>South Africa</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Attn:  Ms.  Sally Hutton</w:t>
      </w:r>
    </w:p>
    <w:p>
      <w:pPr>
        <w:pStyle w:val="Normal"/>
        <w:spacing w:before="120" w:after="0"/>
        <w:jc w:val="both"/>
        <w:rPr>
          <w:rFonts w:ascii="Times New Roman" w:hAnsi="Times New Roman" w:cs="Times New Roman"/>
          <w:sz w:val="22"/>
        </w:rPr>
      </w:pPr>
      <w:r>
        <w:rPr>
          <w:rFonts w:cs="Times New Roman" w:ascii="Times New Roman" w:hAnsi="Times New Roman"/>
          <w:sz w:val="22"/>
        </w:rPr>
      </w:r>
    </w:p>
    <w:p>
      <w:pPr>
        <w:pStyle w:val="BodyText"/>
        <w:spacing w:before="240" w:after="0"/>
        <w:rPr/>
      </w:pPr>
      <w:r>
        <w:rPr/>
        <w:t>Dear Ms.  Hutton:</w:t>
      </w:r>
    </w:p>
    <w:p>
      <w:pPr>
        <w:pStyle w:val="BodyText"/>
        <w:spacing w:lineRule="auto" w:line="240" w:before="0" w:after="0"/>
        <w:rPr/>
      </w:pPr>
      <w:r>
        <w:rPr/>
        <w:tab/>
        <w:t>As noted in my facsimile to you of October 14, 1999, I am aware of your February 2, 1998 memorandum prepared for the International Swaps and Derivatives Association Inc. addressing the enforceability of the close-out netting provisions of the ISDA Master Agreement (the “ISDA Memo”).  Enron North America Corp. (a U.S. corporation organized under the laws of the State of Delaware with its corporate headquarters in Houston, Texas) (“ENA”) is considering entering various derivatives transactions with entities located in South Africa (the “Counterparty”).  The term “derivatives transactions” as used here means options, swaps, caps, collars, floors and other derivatives transactions to hedge or manage commodity (paper/pulp, natural gas, crude oil, natural gas liquids, etc.), interest rate, currency and weather risks.  All of the products would be settled financially in U.S. Dollars.  You will note that all derivatives transactions between ENA and a Counterparty would be entered into pursuant to an ISDA Master Agreement (Multicurrency - Cross Border).  I will also send under separate cover a draft of the Schedule of the ISDA Master Agreement, ISDA Credit Support Annex, guaranty form, and opinion form we would anticipate using with a Counterparty.</w:t>
      </w:r>
    </w:p>
    <w:p>
      <w:pPr>
        <w:pStyle w:val="Normal"/>
        <w:spacing w:before="120" w:after="0"/>
        <w:jc w:val="both"/>
        <w:rPr>
          <w:rFonts w:ascii="Times New Roman" w:hAnsi="Times New Roman" w:cs="Times New Roman"/>
          <w:sz w:val="22"/>
        </w:rPr>
      </w:pPr>
      <w:r>
        <w:rPr>
          <w:rFonts w:cs="Times New Roman" w:ascii="Times New Roman" w:hAnsi="Times New Roman"/>
          <w:sz w:val="22"/>
        </w:rPr>
        <w:tab/>
        <w:t>We request your opinion on the legality, enforceability and withholding tax treatment of derivatives transactions and would like to work with you to determine the legal issues involved in entering into derivatives transactions in South Africa.  While we anticipate that the laws of New York or Texas would govern the ISDA Master Agreement, we would like (i) assurance that a company based in South Africa can legally enter into derivatives transactions and (ii) information on the impact South African law may have on any derivatives transactions.  To the extent convenient, please feel free to incorporate sections of the ISDA Memo into your response.</w:t>
      </w:r>
    </w:p>
    <w:p>
      <w:pPr>
        <w:pStyle w:val="Normal"/>
        <w:keepNext w:val="true"/>
        <w:keepLines/>
        <w:spacing w:before="120" w:after="0"/>
        <w:jc w:val="both"/>
        <w:rPr>
          <w:rFonts w:ascii="Times New Roman" w:hAnsi="Times New Roman" w:cs="Times New Roman"/>
          <w:sz w:val="22"/>
        </w:rPr>
      </w:pPr>
      <w:r>
        <w:rPr>
          <w:rFonts w:cs="Times New Roman" w:ascii="Times New Roman" w:hAnsi="Times New Roman"/>
          <w:sz w:val="22"/>
        </w:rPr>
        <w:tab/>
        <w:t xml:space="preserve">The following is a list of the general issues we would like addressed in a written response:  </w:t>
      </w:r>
    </w:p>
    <w:p>
      <w:pPr>
        <w:pStyle w:val="Normal"/>
        <w:keepNext w:val="true"/>
        <w:keepLines/>
        <w:spacing w:before="120" w:after="0"/>
        <w:jc w:val="both"/>
        <w:rPr>
          <w:rFonts w:ascii="Times New Roman" w:hAnsi="Times New Roman" w:cs="Times New Roman"/>
          <w:sz w:val="22"/>
        </w:rPr>
      </w:pPr>
      <w:r>
        <w:rPr>
          <w:rFonts w:cs="Times New Roman" w:ascii="Times New Roman" w:hAnsi="Times New Roman"/>
          <w:b/>
          <w:sz w:val="22"/>
          <w:u w:val="single"/>
        </w:rPr>
        <w:t>1.  Choice of Law/Submission to Jurisdiction:</w:t>
      </w:r>
    </w:p>
    <w:p>
      <w:pPr>
        <w:pStyle w:val="BodyText"/>
        <w:spacing w:lineRule="auto" w:line="240"/>
        <w:rPr/>
      </w:pPr>
      <w:r>
        <w:rPr/>
        <w:tab/>
        <w:t>Please confirm that the agreement of a Counterparty to (i) submit to the substantive law of the State of Texas or the State of New York and (ii) submit to the exclusive jurisdiction of the courts of either the State of Texas or the State of New York (or to arbitration) would be legally valid, binding and enforceable under the laws of South Africa.  Note that ENA also has an office in New York and assume that the Counterparty will not have an office in either New York or Texas.</w:t>
      </w:r>
    </w:p>
    <w:p>
      <w:pPr>
        <w:pStyle w:val="Normal"/>
        <w:spacing w:before="120" w:after="0"/>
        <w:jc w:val="both"/>
        <w:rPr>
          <w:rFonts w:ascii="Times New Roman" w:hAnsi="Times New Roman" w:cs="Times New Roman"/>
          <w:sz w:val="22"/>
        </w:rPr>
      </w:pPr>
      <w:r>
        <w:rPr>
          <w:rFonts w:cs="Times New Roman" w:ascii="Times New Roman" w:hAnsi="Times New Roman"/>
          <w:b/>
          <w:sz w:val="22"/>
          <w:u w:val="single"/>
        </w:rPr>
        <w:t>2.  Enforcement of Foreign Judgments/Access to South African courts:</w:t>
      </w:r>
    </w:p>
    <w:p>
      <w:pPr>
        <w:pStyle w:val="Normal"/>
        <w:spacing w:before="120" w:after="0"/>
        <w:ind w:firstLine="720" w:end="0"/>
        <w:jc w:val="both"/>
        <w:rPr>
          <w:rFonts w:ascii="Times New Roman" w:hAnsi="Times New Roman" w:cs="Times New Roman"/>
          <w:sz w:val="22"/>
        </w:rPr>
      </w:pPr>
      <w:r>
        <w:rPr>
          <w:rFonts w:cs="Times New Roman" w:ascii="Times New Roman" w:hAnsi="Times New Roman"/>
          <w:sz w:val="22"/>
        </w:rPr>
        <w:t xml:space="preserve">Would a South African court enforce a judgment rendered by a New York or Texas state or federal court?  Assume that all substantive and procedural requirements for jurisdiction have been met.  Would a U.S. corporation be permitted to sue directly in South Africa?  </w:t>
      </w:r>
    </w:p>
    <w:p>
      <w:pPr>
        <w:pStyle w:val="Normal"/>
        <w:spacing w:before="120" w:after="0"/>
        <w:jc w:val="both"/>
        <w:rPr>
          <w:rFonts w:ascii="Times New Roman" w:hAnsi="Times New Roman" w:cs="Times New Roman"/>
          <w:sz w:val="22"/>
        </w:rPr>
      </w:pPr>
      <w:r>
        <w:rPr>
          <w:rFonts w:cs="Times New Roman" w:ascii="Times New Roman" w:hAnsi="Times New Roman"/>
          <w:b/>
          <w:sz w:val="22"/>
          <w:u w:val="single"/>
        </w:rPr>
        <w:t>3.  Authority and capacity:</w:t>
      </w:r>
    </w:p>
    <w:p>
      <w:pPr>
        <w:pStyle w:val="Normal"/>
        <w:spacing w:before="120" w:after="0"/>
        <w:jc w:val="both"/>
        <w:rPr>
          <w:rFonts w:ascii="Times New Roman" w:hAnsi="Times New Roman" w:cs="Times New Roman"/>
          <w:sz w:val="22"/>
        </w:rPr>
      </w:pPr>
      <w:r>
        <w:rPr>
          <w:rFonts w:cs="Times New Roman" w:ascii="Times New Roman" w:hAnsi="Times New Roman"/>
          <w:sz w:val="22"/>
        </w:rPr>
        <w:tab/>
        <w:t>ENA may enter into derivatives transactions with the following types of entities (i) banks or other financial institutions, (ii) companies engaged in the paper and pulp manufacturing or recycling (or oil and/or gas) business and (iii) other corporations or limited liability entities, and (iv) government or state owned or controlled corporations.</w:t>
      </w:r>
    </w:p>
    <w:p>
      <w:pPr>
        <w:pStyle w:val="Normal"/>
        <w:spacing w:before="120" w:after="0"/>
        <w:ind w:hanging="720" w:start="1440" w:end="0"/>
        <w:jc w:val="both"/>
        <w:rPr>
          <w:rFonts w:ascii="Times New Roman" w:hAnsi="Times New Roman" w:cs="Times New Roman"/>
          <w:sz w:val="22"/>
        </w:rPr>
      </w:pPr>
      <w:r>
        <w:rPr>
          <w:rFonts w:cs="Times New Roman" w:ascii="Times New Roman" w:hAnsi="Times New Roman"/>
          <w:sz w:val="22"/>
        </w:rPr>
        <w:t>A.</w:t>
        <w:tab/>
        <w:t>Under the laws of organization of the relevant entity, does each of these entities have the capacity to enter into this type of transaction?  If so, must the organizational documents so empower this entity?</w:t>
      </w:r>
    </w:p>
    <w:p>
      <w:pPr>
        <w:pStyle w:val="Normal"/>
        <w:spacing w:before="120" w:after="0"/>
        <w:ind w:hanging="720" w:start="1440" w:end="0"/>
        <w:jc w:val="both"/>
        <w:rPr>
          <w:rFonts w:ascii="Times New Roman" w:hAnsi="Times New Roman" w:cs="Times New Roman"/>
          <w:sz w:val="22"/>
        </w:rPr>
      </w:pPr>
      <w:r>
        <w:rPr>
          <w:rFonts w:cs="Times New Roman" w:ascii="Times New Roman" w:hAnsi="Times New Roman"/>
          <w:sz w:val="22"/>
        </w:rPr>
        <w:t>B.</w:t>
        <w:tab/>
        <w:t>What additional corporate action is necessary or advisable in order to assure that the entity has capacity and the officer orally agreeing to the trade and the officer(s) signing the ISDA Master Agreement and other relevant documents have proper authority so as to bind the entity?</w:t>
      </w:r>
    </w:p>
    <w:p>
      <w:pPr>
        <w:pStyle w:val="Normal"/>
        <w:spacing w:before="120" w:after="0"/>
        <w:ind w:hanging="720" w:start="1440" w:end="0"/>
        <w:jc w:val="both"/>
        <w:rPr>
          <w:rFonts w:ascii="Times New Roman" w:hAnsi="Times New Roman" w:cs="Times New Roman"/>
          <w:sz w:val="22"/>
        </w:rPr>
      </w:pPr>
      <w:r>
        <w:rPr>
          <w:rFonts w:cs="Times New Roman" w:ascii="Times New Roman" w:hAnsi="Times New Roman"/>
          <w:sz w:val="22"/>
        </w:rPr>
        <w:t>C.</w:t>
        <w:tab/>
        <w:t>Please identify and describe the documentation that ENA should prudently insist upon receiving from the Counterparty to evidence its capacity and the authority of the individuals orally agreeing to trades and signing documents.</w:t>
      </w:r>
    </w:p>
    <w:p>
      <w:pPr>
        <w:pStyle w:val="Normal"/>
        <w:spacing w:before="120" w:after="0"/>
        <w:jc w:val="both"/>
        <w:rPr>
          <w:rFonts w:ascii="Times New Roman" w:hAnsi="Times New Roman" w:cs="Times New Roman"/>
          <w:sz w:val="22"/>
        </w:rPr>
      </w:pPr>
      <w:r>
        <w:rPr>
          <w:rFonts w:cs="Times New Roman" w:ascii="Times New Roman" w:hAnsi="Times New Roman"/>
          <w:sz w:val="22"/>
        </w:rPr>
        <w:t>Would partnerships, trusts, utilities, municipalities, normally have the capacity to enter into derivatives transactions?</w:t>
      </w:r>
    </w:p>
    <w:p>
      <w:pPr>
        <w:pStyle w:val="Normal"/>
        <w:spacing w:before="120" w:after="0"/>
        <w:jc w:val="both"/>
        <w:rPr>
          <w:rFonts w:ascii="Times New Roman" w:hAnsi="Times New Roman" w:cs="Times New Roman"/>
          <w:sz w:val="22"/>
        </w:rPr>
      </w:pPr>
      <w:r>
        <w:rPr>
          <w:rFonts w:cs="Times New Roman" w:ascii="Times New Roman" w:hAnsi="Times New Roman"/>
          <w:b/>
          <w:sz w:val="22"/>
          <w:u w:val="single"/>
        </w:rPr>
        <w:t>4.  General Laws Impacting Derivatives Transactions:</w:t>
      </w:r>
    </w:p>
    <w:p>
      <w:pPr>
        <w:pStyle w:val="Normal"/>
        <w:spacing w:before="120" w:after="0"/>
        <w:jc w:val="both"/>
        <w:rPr>
          <w:rFonts w:ascii="Times New Roman" w:hAnsi="Times New Roman" w:cs="Times New Roman"/>
          <w:sz w:val="22"/>
        </w:rPr>
      </w:pPr>
      <w:r>
        <w:rPr>
          <w:rFonts w:cs="Times New Roman" w:ascii="Times New Roman" w:hAnsi="Times New Roman"/>
          <w:sz w:val="22"/>
        </w:rPr>
        <w:tab/>
        <w:t>Are there other statutory or regulatory restrictions, usury laws, licensing or registration requirements of which we need to be aware or anything else which would affect the authority or capacity of a Counterparty to enter into derivatives transactions or any other restriction due to the nature of the Counterparty (e.g. bank) or due to the nature of the financial product (e.g. as a “security” or “commodity”)?  Are there any anti-gambling or similar rules under South African law which would affect the legality and enforceability of derivatives transactions?  Is it necessary to register any agreement or transaction with any governmental authority or obtain any approvals or licenses?  If so, what is the procedure and what are the consequences of failing to register or obtain approval?</w:t>
      </w:r>
    </w:p>
    <w:p>
      <w:pPr>
        <w:pStyle w:val="Normal"/>
        <w:spacing w:before="120" w:after="0"/>
        <w:jc w:val="both"/>
        <w:rPr>
          <w:rFonts w:ascii="Times New Roman" w:hAnsi="Times New Roman" w:cs="Times New Roman"/>
          <w:b/>
          <w:sz w:val="22"/>
          <w:u w:val="single"/>
        </w:rPr>
      </w:pPr>
      <w:r>
        <w:rPr>
          <w:rFonts w:cs="Times New Roman" w:ascii="Times New Roman" w:hAnsi="Times New Roman"/>
          <w:b/>
          <w:sz w:val="22"/>
          <w:u w:val="single"/>
        </w:rPr>
        <w:t>5.  Exchange Controls:</w:t>
      </w:r>
    </w:p>
    <w:p>
      <w:pPr>
        <w:pStyle w:val="Normal"/>
        <w:spacing w:before="120" w:after="0"/>
        <w:jc w:val="both"/>
        <w:rPr>
          <w:rFonts w:ascii="Times New Roman" w:hAnsi="Times New Roman" w:cs="Times New Roman"/>
          <w:sz w:val="22"/>
        </w:rPr>
      </w:pPr>
      <w:r>
        <w:rPr>
          <w:rFonts w:cs="Times New Roman" w:ascii="Times New Roman" w:hAnsi="Times New Roman"/>
          <w:sz w:val="22"/>
        </w:rPr>
        <w:tab/>
        <w:t>Are there any exchange control licenses required or restrictions that might impact a Counterparty making payments in a non-local currency in another jurisdiction?</w:t>
      </w:r>
    </w:p>
    <w:p>
      <w:pPr>
        <w:pStyle w:val="Normal"/>
        <w:keepNext w:val="true"/>
        <w:keepLines/>
        <w:spacing w:before="120" w:after="0"/>
        <w:jc w:val="both"/>
        <w:rPr>
          <w:rFonts w:ascii="Times New Roman" w:hAnsi="Times New Roman" w:cs="Times New Roman"/>
          <w:sz w:val="22"/>
        </w:rPr>
      </w:pPr>
      <w:r>
        <w:rPr>
          <w:rFonts w:cs="Times New Roman" w:ascii="Times New Roman" w:hAnsi="Times New Roman"/>
          <w:b/>
          <w:sz w:val="22"/>
          <w:u w:val="single"/>
        </w:rPr>
        <w:t>6.  Immunity:</w:t>
      </w:r>
    </w:p>
    <w:p>
      <w:pPr>
        <w:pStyle w:val="Normal"/>
        <w:keepNext w:val="true"/>
        <w:keepLines/>
        <w:spacing w:before="120" w:after="0"/>
        <w:jc w:val="both"/>
        <w:rPr>
          <w:rFonts w:ascii="Times New Roman" w:hAnsi="Times New Roman" w:cs="Times New Roman"/>
          <w:sz w:val="22"/>
        </w:rPr>
      </w:pPr>
      <w:r>
        <w:rPr>
          <w:rFonts w:cs="Times New Roman" w:ascii="Times New Roman" w:hAnsi="Times New Roman"/>
          <w:sz w:val="22"/>
        </w:rPr>
        <w:tab/>
        <w:t>Would any Counterparty (public or private) be granted immunity from suit, attachment of assets or execution of judgments?</w:t>
      </w:r>
    </w:p>
    <w:p>
      <w:pPr>
        <w:pStyle w:val="Normal"/>
        <w:spacing w:before="120" w:after="0"/>
        <w:jc w:val="both"/>
        <w:rPr>
          <w:rFonts w:ascii="Times New Roman" w:hAnsi="Times New Roman" w:cs="Times New Roman"/>
          <w:sz w:val="22"/>
        </w:rPr>
      </w:pPr>
      <w:r>
        <w:rPr>
          <w:rFonts w:cs="Times New Roman" w:ascii="Times New Roman" w:hAnsi="Times New Roman"/>
          <w:b/>
          <w:sz w:val="22"/>
          <w:u w:val="single"/>
        </w:rPr>
        <w:t>7.  Regulation:</w:t>
      </w:r>
    </w:p>
    <w:p>
      <w:pPr>
        <w:pStyle w:val="Normal"/>
        <w:spacing w:before="120" w:after="0"/>
        <w:jc w:val="both"/>
        <w:rPr>
          <w:rFonts w:ascii="Times New Roman" w:hAnsi="Times New Roman" w:cs="Times New Roman"/>
          <w:sz w:val="22"/>
        </w:rPr>
      </w:pPr>
      <w:r>
        <w:rPr>
          <w:rFonts w:cs="Times New Roman" w:ascii="Times New Roman" w:hAnsi="Times New Roman"/>
          <w:sz w:val="22"/>
        </w:rPr>
        <w:tab/>
        <w:t>Would ENA be able to transact business with a Counterparty without having to be regulated in either the U.S. or South Africa?</w:t>
      </w:r>
    </w:p>
    <w:p>
      <w:pPr>
        <w:pStyle w:val="Normal"/>
        <w:spacing w:before="120" w:after="0"/>
        <w:jc w:val="both"/>
        <w:rPr>
          <w:rFonts w:ascii="Times New Roman" w:hAnsi="Times New Roman" w:cs="Times New Roman"/>
          <w:b/>
          <w:sz w:val="22"/>
          <w:u w:val="single"/>
        </w:rPr>
      </w:pPr>
      <w:r>
        <w:rPr>
          <w:rFonts w:cs="Times New Roman" w:ascii="Times New Roman" w:hAnsi="Times New Roman"/>
          <w:b/>
          <w:sz w:val="22"/>
          <w:u w:val="single"/>
        </w:rPr>
        <w:t xml:space="preserve"> </w:t>
      </w:r>
      <w:r>
        <w:rPr>
          <w:rFonts w:cs="Times New Roman" w:ascii="Times New Roman" w:hAnsi="Times New Roman"/>
          <w:b/>
          <w:sz w:val="22"/>
          <w:u w:val="single"/>
        </w:rPr>
        <w:t>8.  Termination Provisions and Netting:</w:t>
      </w:r>
    </w:p>
    <w:p>
      <w:pPr>
        <w:pStyle w:val="Normal"/>
        <w:spacing w:before="120" w:after="0"/>
        <w:jc w:val="both"/>
        <w:rPr>
          <w:rFonts w:ascii="Times New Roman" w:hAnsi="Times New Roman" w:cs="Times New Roman"/>
          <w:sz w:val="22"/>
        </w:rPr>
      </w:pPr>
      <w:r>
        <w:rPr>
          <w:rFonts w:cs="Times New Roman" w:ascii="Times New Roman" w:hAnsi="Times New Roman"/>
          <w:sz w:val="22"/>
        </w:rPr>
        <w:tab/>
        <w:t xml:space="preserve">Assuming a Counterparty is not in bankruptcy, would the termination provisions, including netting, be enforced by a South African court assuming the Counterparty was otherwise in default?  </w:t>
      </w:r>
    </w:p>
    <w:p>
      <w:pPr>
        <w:pStyle w:val="Normal"/>
        <w:spacing w:before="120" w:after="0"/>
        <w:jc w:val="both"/>
        <w:rPr>
          <w:rFonts w:ascii="Times New Roman" w:hAnsi="Times New Roman" w:cs="Times New Roman"/>
          <w:sz w:val="22"/>
        </w:rPr>
      </w:pPr>
      <w:r>
        <w:rPr>
          <w:rFonts w:cs="Times New Roman" w:ascii="Times New Roman" w:hAnsi="Times New Roman"/>
          <w:b/>
          <w:sz w:val="22"/>
          <w:u w:val="single"/>
        </w:rPr>
        <w:t>9.  Bankruptcy/Insolvency:</w:t>
      </w:r>
    </w:p>
    <w:p>
      <w:pPr>
        <w:pStyle w:val="Normal"/>
        <w:spacing w:before="120" w:after="0"/>
        <w:jc w:val="both"/>
        <w:rPr>
          <w:rFonts w:ascii="Times New Roman" w:hAnsi="Times New Roman" w:cs="Times New Roman"/>
          <w:sz w:val="22"/>
        </w:rPr>
      </w:pPr>
      <w:r>
        <w:rPr>
          <w:rFonts w:cs="Times New Roman" w:ascii="Times New Roman" w:hAnsi="Times New Roman"/>
          <w:sz w:val="22"/>
        </w:rPr>
        <w:tab/>
        <w:t>What impact do the local bankruptcy laws have on derivatives transactions?  Would a trustee in bankruptcy or similar official be able to “cherry-pick” (selectively enforce) transactions between ENA and the Counterparty, thereby terminating the unfavorable positions and maintaining the favorable ones?</w:t>
      </w:r>
    </w:p>
    <w:p>
      <w:pPr>
        <w:pStyle w:val="Normal"/>
        <w:spacing w:before="120" w:after="0"/>
        <w:jc w:val="both"/>
        <w:rPr>
          <w:rFonts w:ascii="Times New Roman" w:hAnsi="Times New Roman" w:cs="Times New Roman"/>
          <w:sz w:val="22"/>
        </w:rPr>
      </w:pPr>
      <w:r>
        <w:rPr>
          <w:rFonts w:cs="Times New Roman" w:ascii="Times New Roman" w:hAnsi="Times New Roman"/>
          <w:sz w:val="22"/>
        </w:rPr>
        <w:t>Specifically, would:</w:t>
      </w:r>
    </w:p>
    <w:p>
      <w:pPr>
        <w:pStyle w:val="Normal"/>
        <w:spacing w:before="120" w:after="0"/>
        <w:ind w:hanging="720" w:start="1440" w:end="0"/>
        <w:jc w:val="both"/>
        <w:rPr>
          <w:rFonts w:ascii="Times New Roman" w:hAnsi="Times New Roman" w:cs="Times New Roman"/>
          <w:sz w:val="22"/>
        </w:rPr>
      </w:pPr>
      <w:r>
        <w:rPr>
          <w:rFonts w:cs="Times New Roman" w:ascii="Times New Roman" w:hAnsi="Times New Roman"/>
          <w:sz w:val="22"/>
        </w:rPr>
        <w:t>A.</w:t>
        <w:tab/>
        <w:t>a South African court enforce the termination provisions against a Counterparty after bankruptcy and would the courts give effect to the netting provisions after bankruptcy?</w:t>
      </w:r>
    </w:p>
    <w:p>
      <w:pPr>
        <w:pStyle w:val="Normal"/>
        <w:spacing w:before="120" w:after="0"/>
        <w:ind w:hanging="720" w:start="1440" w:end="0"/>
        <w:jc w:val="both"/>
        <w:rPr>
          <w:rFonts w:ascii="Times New Roman" w:hAnsi="Times New Roman" w:cs="Times New Roman"/>
          <w:sz w:val="22"/>
        </w:rPr>
      </w:pPr>
      <w:r>
        <w:rPr>
          <w:rFonts w:cs="Times New Roman" w:ascii="Times New Roman" w:hAnsi="Times New Roman"/>
          <w:sz w:val="22"/>
        </w:rPr>
        <w:t>B.</w:t>
        <w:tab/>
        <w:t>ENA be able to exempt itself from any stay of execution?</w:t>
      </w:r>
    </w:p>
    <w:p>
      <w:pPr>
        <w:pStyle w:val="Normal"/>
        <w:spacing w:before="120" w:after="0"/>
        <w:ind w:hanging="720" w:start="1440" w:end="0"/>
        <w:jc w:val="both"/>
        <w:rPr>
          <w:rFonts w:ascii="Times New Roman" w:hAnsi="Times New Roman" w:cs="Times New Roman"/>
          <w:sz w:val="22"/>
        </w:rPr>
      </w:pPr>
      <w:r>
        <w:rPr>
          <w:rFonts w:cs="Times New Roman" w:ascii="Times New Roman" w:hAnsi="Times New Roman"/>
          <w:sz w:val="22"/>
        </w:rPr>
        <w:t>C.</w:t>
        <w:tab/>
        <w:t>ENA be able to insulate itself against any powers of the trustee in bankruptcy to disclaim payments made by the bankrupt Counterparty prior to bankruptcy?</w:t>
      </w:r>
    </w:p>
    <w:p>
      <w:pPr>
        <w:pStyle w:val="Normal"/>
        <w:spacing w:before="120" w:after="0"/>
        <w:ind w:hanging="720" w:start="1440" w:end="0"/>
        <w:jc w:val="both"/>
        <w:rPr>
          <w:rFonts w:ascii="Times New Roman" w:hAnsi="Times New Roman" w:cs="Times New Roman"/>
          <w:sz w:val="22"/>
        </w:rPr>
      </w:pPr>
      <w:r>
        <w:rPr>
          <w:rFonts w:cs="Times New Roman" w:ascii="Times New Roman" w:hAnsi="Times New Roman"/>
          <w:sz w:val="22"/>
        </w:rPr>
        <w:t>D.</w:t>
        <w:tab/>
        <w:t>a trustee in bankruptcy be able to repudiate the delivery of collateral made prior to bankruptcy?</w:t>
      </w:r>
    </w:p>
    <w:p>
      <w:pPr>
        <w:pStyle w:val="Normal"/>
        <w:spacing w:before="120" w:after="0"/>
        <w:ind w:hanging="720" w:start="1440" w:end="0"/>
        <w:jc w:val="both"/>
        <w:rPr>
          <w:rFonts w:ascii="Times New Roman" w:hAnsi="Times New Roman" w:cs="Times New Roman"/>
          <w:sz w:val="22"/>
        </w:rPr>
      </w:pPr>
      <w:r>
        <w:rPr>
          <w:rFonts w:cs="Times New Roman" w:ascii="Times New Roman" w:hAnsi="Times New Roman"/>
          <w:sz w:val="22"/>
        </w:rPr>
        <w:t>E.</w:t>
        <w:tab/>
        <w:t>ENA be able to direct that any collateral it had posted with the bankrupt Counterparty be used to satisfy its obligations to the bankrupt Counterparty under the terms of the ISDA Master Agreement?  And conversely, if ENA were holding collateral and the Counterparty went bankrupt would ENA be able to use the collateral to discharge amounts due from the bankrupt Counterparty?</w:t>
      </w:r>
    </w:p>
    <w:p>
      <w:pPr>
        <w:pStyle w:val="Normal"/>
        <w:spacing w:before="120" w:after="0"/>
        <w:ind w:hanging="720" w:start="1440" w:end="0"/>
        <w:jc w:val="both"/>
        <w:rPr>
          <w:rFonts w:ascii="Times New Roman" w:hAnsi="Times New Roman" w:cs="Times New Roman"/>
          <w:sz w:val="22"/>
        </w:rPr>
      </w:pPr>
      <w:r>
        <w:rPr>
          <w:rFonts w:cs="Times New Roman" w:ascii="Times New Roman" w:hAnsi="Times New Roman"/>
          <w:sz w:val="22"/>
        </w:rPr>
        <w:t>F.</w:t>
        <w:tab/>
        <w:t>the “Automatic Termination” provisions of the ISDA Master Agreement upon bankruptcy be given effect by South African courts?</w:t>
      </w:r>
    </w:p>
    <w:p>
      <w:pPr>
        <w:pStyle w:val="Normal"/>
        <w:spacing w:before="120" w:after="0"/>
        <w:jc w:val="both"/>
        <w:rPr/>
      </w:pPr>
      <w:r>
        <w:rPr>
          <w:rFonts w:cs="Times New Roman" w:ascii="Times New Roman" w:hAnsi="Times New Roman"/>
          <w:b/>
          <w:sz w:val="22"/>
          <w:u w:val="single"/>
        </w:rPr>
        <w:t>10.  Credit Support:</w:t>
      </w:r>
      <w:r>
        <w:rPr>
          <w:rFonts w:cs="Times New Roman" w:ascii="Times New Roman" w:hAnsi="Times New Roman"/>
          <w:sz w:val="22"/>
        </w:rPr>
        <w:t xml:space="preserve"> </w:t>
      </w:r>
    </w:p>
    <w:p>
      <w:pPr>
        <w:pStyle w:val="Normal"/>
        <w:spacing w:before="120" w:after="0"/>
        <w:jc w:val="both"/>
        <w:rPr>
          <w:rFonts w:ascii="Times New Roman" w:hAnsi="Times New Roman" w:cs="Times New Roman"/>
          <w:sz w:val="22"/>
        </w:rPr>
      </w:pPr>
      <w:r>
        <w:rPr>
          <w:rFonts w:cs="Times New Roman" w:ascii="Times New Roman" w:hAnsi="Times New Roman"/>
          <w:sz w:val="22"/>
        </w:rPr>
        <w:tab/>
        <w:t>Are there any limitations on a Counterparty’s ability to provide letters of credit or pledge cash or securities as collateral in the U.S., with U.S. law governing the perfection of such collateral, to secure its obligations under the ISDA Master Agreement?</w:t>
      </w:r>
    </w:p>
    <w:p>
      <w:pPr>
        <w:pStyle w:val="Normal"/>
        <w:spacing w:before="120" w:after="0"/>
        <w:jc w:val="both"/>
        <w:rPr>
          <w:rFonts w:ascii="Times New Roman" w:hAnsi="Times New Roman" w:cs="Times New Roman"/>
          <w:sz w:val="22"/>
        </w:rPr>
      </w:pPr>
      <w:r>
        <w:rPr>
          <w:rFonts w:cs="Times New Roman" w:ascii="Times New Roman" w:hAnsi="Times New Roman"/>
          <w:b/>
          <w:sz w:val="22"/>
          <w:u w:val="single"/>
        </w:rPr>
        <w:t>11.  Taxes:</w:t>
      </w:r>
    </w:p>
    <w:p>
      <w:pPr>
        <w:pStyle w:val="BodyText"/>
        <w:spacing w:lineRule="auto" w:line="240"/>
        <w:rPr/>
      </w:pPr>
      <w:r>
        <w:rPr/>
        <w:tab/>
        <w:t>Are there any potential withholding tax, income tax, stamp tax, value added tax or other tax issues in South Africa that would need to be considered when entering into the ISDA Master Agreement with the Counterparty?  If such taxes exist, are there any tax treaties and/or tax documents that would eliminate or reduce such withholding?  Are the tax gross up provisions of Section 2(d) of the ISDA Master Agreement enforceable in South Africa?</w:t>
      </w:r>
    </w:p>
    <w:p>
      <w:pPr>
        <w:pStyle w:val="Normal"/>
        <w:keepNext w:val="true"/>
        <w:keepLines/>
        <w:spacing w:before="120" w:after="0"/>
        <w:jc w:val="both"/>
        <w:rPr>
          <w:rFonts w:ascii="Times New Roman" w:hAnsi="Times New Roman" w:cs="Times New Roman"/>
          <w:b/>
          <w:sz w:val="22"/>
          <w:u w:val="single"/>
        </w:rPr>
      </w:pPr>
      <w:r>
        <w:rPr>
          <w:rFonts w:cs="Times New Roman" w:ascii="Times New Roman" w:hAnsi="Times New Roman"/>
          <w:b/>
          <w:sz w:val="22"/>
          <w:u w:val="single"/>
        </w:rPr>
        <w:t>12.  Setoff:</w:t>
      </w:r>
    </w:p>
    <w:p>
      <w:pPr>
        <w:pStyle w:val="Normal"/>
        <w:keepNext w:val="true"/>
        <w:keepLines/>
        <w:spacing w:before="120" w:after="0"/>
        <w:jc w:val="both"/>
        <w:rPr>
          <w:rFonts w:ascii="Times New Roman" w:hAnsi="Times New Roman" w:cs="Times New Roman"/>
          <w:sz w:val="22"/>
        </w:rPr>
      </w:pPr>
      <w:r>
        <w:rPr>
          <w:rFonts w:cs="Times New Roman" w:ascii="Times New Roman" w:hAnsi="Times New Roman"/>
          <w:sz w:val="22"/>
        </w:rPr>
        <w:tab/>
        <w:t>Would the set-off provisions contained in Part 5 of the Schedule to the ISDA Master Agreement be enforceable under South African law?</w:t>
      </w:r>
    </w:p>
    <w:p>
      <w:pPr>
        <w:pStyle w:val="Normal"/>
        <w:spacing w:before="120" w:after="0"/>
        <w:jc w:val="both"/>
        <w:rPr>
          <w:rFonts w:ascii="Times New Roman" w:hAnsi="Times New Roman" w:cs="Times New Roman"/>
          <w:b/>
          <w:sz w:val="22"/>
          <w:u w:val="single"/>
        </w:rPr>
      </w:pPr>
      <w:r>
        <w:rPr>
          <w:rFonts w:cs="Times New Roman" w:ascii="Times New Roman" w:hAnsi="Times New Roman"/>
          <w:b/>
          <w:sz w:val="22"/>
          <w:u w:val="single"/>
        </w:rPr>
        <w:t>13.  Contract Formalities:</w:t>
      </w:r>
    </w:p>
    <w:p>
      <w:pPr>
        <w:pStyle w:val="Normal"/>
        <w:spacing w:before="120" w:after="0"/>
        <w:jc w:val="both"/>
        <w:rPr>
          <w:rFonts w:ascii="Times New Roman" w:hAnsi="Times New Roman" w:cs="Times New Roman"/>
          <w:sz w:val="22"/>
        </w:rPr>
      </w:pPr>
      <w:r>
        <w:rPr>
          <w:rFonts w:cs="Times New Roman" w:ascii="Times New Roman" w:hAnsi="Times New Roman"/>
          <w:sz w:val="22"/>
        </w:rPr>
        <w:tab/>
        <w:t>What are the requirements for contract formation under the laws of South Africa (e.g. offer, acceptance, in writing, witnessed, corporate seal, document stamp)?  Are oral agreements, entered into under the ISDA Master Agreement that permits oral agreements, valid and binding under South African law?</w:t>
      </w:r>
    </w:p>
    <w:p>
      <w:pPr>
        <w:pStyle w:val="Normal"/>
        <w:spacing w:before="120" w:after="0"/>
        <w:jc w:val="both"/>
        <w:rPr>
          <w:rFonts w:ascii="Times New Roman" w:hAnsi="Times New Roman" w:cs="Times New Roman"/>
          <w:sz w:val="22"/>
        </w:rPr>
      </w:pPr>
      <w:r>
        <w:rPr>
          <w:rFonts w:cs="Times New Roman" w:ascii="Times New Roman" w:hAnsi="Times New Roman"/>
          <w:b/>
          <w:sz w:val="22"/>
          <w:u w:val="single"/>
        </w:rPr>
        <w:t>14.  Calculation of Damages:</w:t>
      </w:r>
    </w:p>
    <w:p>
      <w:pPr>
        <w:pStyle w:val="Normal"/>
        <w:spacing w:before="120" w:after="0"/>
        <w:jc w:val="both"/>
        <w:rPr>
          <w:rFonts w:ascii="Times New Roman" w:hAnsi="Times New Roman" w:cs="Times New Roman"/>
          <w:sz w:val="22"/>
        </w:rPr>
      </w:pPr>
      <w:r>
        <w:rPr>
          <w:rFonts w:cs="Times New Roman" w:ascii="Times New Roman" w:hAnsi="Times New Roman"/>
          <w:sz w:val="22"/>
        </w:rPr>
        <w:tab/>
        <w:t>Are the liquidated damages provisions contained in Section 6(e) of the ISDA Master Agreement and the methods of calculating damages (Second Method, Market Quotation or Loss) enforceable under South African law?</w:t>
      </w:r>
    </w:p>
    <w:p>
      <w:pPr>
        <w:pStyle w:val="Normal"/>
        <w:spacing w:before="120" w:after="0"/>
        <w:jc w:val="both"/>
        <w:rPr>
          <w:rFonts w:ascii="Times New Roman" w:hAnsi="Times New Roman" w:cs="Times New Roman"/>
          <w:sz w:val="22"/>
        </w:rPr>
      </w:pPr>
      <w:r>
        <w:rPr>
          <w:rFonts w:cs="Times New Roman" w:ascii="Times New Roman" w:hAnsi="Times New Roman"/>
          <w:b/>
          <w:sz w:val="22"/>
          <w:u w:val="single"/>
        </w:rPr>
        <w:t>15.  Limitation of Liability:</w:t>
      </w:r>
    </w:p>
    <w:p>
      <w:pPr>
        <w:pStyle w:val="Normal"/>
        <w:spacing w:before="120" w:after="0"/>
        <w:jc w:val="both"/>
        <w:rPr>
          <w:rFonts w:ascii="Times New Roman" w:hAnsi="Times New Roman" w:cs="Times New Roman"/>
          <w:sz w:val="22"/>
        </w:rPr>
      </w:pPr>
      <w:r>
        <w:rPr>
          <w:rFonts w:cs="Times New Roman" w:ascii="Times New Roman" w:hAnsi="Times New Roman"/>
          <w:sz w:val="22"/>
        </w:rPr>
        <w:tab/>
        <w:t>Would the limitation of liability provision contained in Part 5 of the Schedule to the ISDA Master Agreement be enforceable under the laws of South Africa?</w:t>
      </w:r>
    </w:p>
    <w:p>
      <w:pPr>
        <w:pStyle w:val="Normal"/>
        <w:spacing w:before="120" w:after="0"/>
        <w:jc w:val="both"/>
        <w:rPr>
          <w:rFonts w:ascii="Times New Roman" w:hAnsi="Times New Roman" w:cs="Times New Roman"/>
          <w:sz w:val="22"/>
        </w:rPr>
      </w:pPr>
      <w:r>
        <w:rPr>
          <w:rFonts w:cs="Times New Roman" w:ascii="Times New Roman" w:hAnsi="Times New Roman"/>
          <w:b/>
          <w:sz w:val="22"/>
          <w:u w:val="single"/>
        </w:rPr>
        <w:t>16.  Indemnification of Expenses:</w:t>
      </w:r>
    </w:p>
    <w:p>
      <w:pPr>
        <w:pStyle w:val="Normal"/>
        <w:spacing w:before="120" w:after="0"/>
        <w:jc w:val="both"/>
        <w:rPr>
          <w:rFonts w:ascii="Times New Roman" w:hAnsi="Times New Roman" w:cs="Times New Roman"/>
          <w:sz w:val="22"/>
        </w:rPr>
      </w:pPr>
      <w:r>
        <w:rPr>
          <w:rFonts w:cs="Times New Roman" w:ascii="Times New Roman" w:hAnsi="Times New Roman"/>
          <w:sz w:val="22"/>
        </w:rPr>
        <w:tab/>
        <w:t>Would a South African court enforce the indemnification provisions in Section 11 of the ISDA Master Agreement which provides that a Defaulting Party will indemnify the Non-Defaulting Party for reasonable out-of-pocket expenses, including legal fees and costs, in enforcing and protecting its rights under the ISDA Master Agreement?</w:t>
      </w:r>
    </w:p>
    <w:p>
      <w:pPr>
        <w:pStyle w:val="Normal"/>
        <w:spacing w:before="120" w:after="0"/>
        <w:jc w:val="both"/>
        <w:rPr>
          <w:rFonts w:ascii="Times New Roman" w:hAnsi="Times New Roman" w:cs="Times New Roman"/>
          <w:sz w:val="22"/>
        </w:rPr>
      </w:pPr>
      <w:r>
        <w:rPr>
          <w:rFonts w:cs="Times New Roman" w:ascii="Times New Roman" w:hAnsi="Times New Roman"/>
          <w:b/>
          <w:sz w:val="22"/>
          <w:u w:val="single"/>
        </w:rPr>
        <w:t>17.  Indemnification of Currency Losses:</w:t>
      </w:r>
    </w:p>
    <w:p>
      <w:pPr>
        <w:pStyle w:val="Normal"/>
        <w:spacing w:before="120" w:after="0"/>
        <w:jc w:val="both"/>
        <w:rPr>
          <w:rFonts w:ascii="Times New Roman" w:hAnsi="Times New Roman" w:cs="Times New Roman"/>
          <w:sz w:val="22"/>
        </w:rPr>
      </w:pPr>
      <w:r>
        <w:rPr>
          <w:rFonts w:cs="Times New Roman" w:ascii="Times New Roman" w:hAnsi="Times New Roman"/>
          <w:sz w:val="22"/>
        </w:rPr>
        <w:tab/>
        <w:t xml:space="preserve">Would a South African court enforce the indemnification provisions in Section 8 of the ISDA Master Agreement?  </w:t>
      </w:r>
    </w:p>
    <w:p>
      <w:pPr>
        <w:pStyle w:val="Normal"/>
        <w:spacing w:before="120" w:after="0"/>
        <w:jc w:val="both"/>
        <w:rPr>
          <w:rFonts w:ascii="Times New Roman" w:hAnsi="Times New Roman" w:cs="Times New Roman"/>
          <w:sz w:val="22"/>
        </w:rPr>
      </w:pPr>
      <w:r>
        <w:rPr>
          <w:rFonts w:cs="Times New Roman" w:ascii="Times New Roman" w:hAnsi="Times New Roman"/>
          <w:sz w:val="22"/>
        </w:rPr>
      </w:r>
    </w:p>
    <w:p>
      <w:pPr>
        <w:pStyle w:val="Normal"/>
        <w:spacing w:before="120" w:after="0"/>
        <w:ind w:firstLine="720" w:end="0"/>
        <w:jc w:val="both"/>
        <w:rPr>
          <w:rFonts w:ascii="Times New Roman" w:hAnsi="Times New Roman" w:cs="Times New Roman"/>
          <w:sz w:val="22"/>
        </w:rPr>
      </w:pPr>
      <w:r>
        <w:rPr>
          <w:rFonts w:cs="Times New Roman" w:ascii="Times New Roman" w:hAnsi="Times New Roman"/>
          <w:sz w:val="22"/>
        </w:rPr>
        <w:t>All bills for your services should be sent to the attention of Mark E. Taylor, Vice President and Assistant General Counsel, Trading, at the address listed above.  Please call me after you have had a chance to review the scope of what we are asking so that we may discuss any obvious legal problems to doing business in South Africa as well as the timing of the project and any questions you might have.  My telephone number is (713) 853-5620 and my fax numbers are (713) 646-3393 or (713) 646-3490.</w:t>
      </w:r>
    </w:p>
    <w:p>
      <w:pPr>
        <w:pStyle w:val="Normal"/>
        <w:spacing w:before="120" w:after="0"/>
        <w:jc w:val="both"/>
        <w:rPr>
          <w:rFonts w:ascii="Times New Roman" w:hAnsi="Times New Roman" w:cs="Times New Roman"/>
          <w:sz w:val="22"/>
        </w:rPr>
      </w:pPr>
      <w:r>
        <w:rPr>
          <w:rFonts w:cs="Times New Roman" w:ascii="Times New Roman" w:hAnsi="Times New Roman"/>
          <w:sz w:val="22"/>
        </w:rPr>
        <w:tab/>
        <w:t>Thank you for your assistance in this matter and I look forward to working with you.</w:t>
      </w:r>
    </w:p>
    <w:p>
      <w:pPr>
        <w:pStyle w:val="Normal"/>
        <w:spacing w:before="240" w:after="0"/>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spacing w:before="240" w:after="0"/>
        <w:ind w:start="5040" w:end="0"/>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t>Sara Shackleton</w:t>
      </w:r>
    </w:p>
    <w:p>
      <w:pPr>
        <w:pStyle w:val="Normal"/>
        <w:ind w:start="5040" w:end="0"/>
        <w:jc w:val="both"/>
        <w:rPr>
          <w:rFonts w:ascii="Times New Roman" w:hAnsi="Times New Roman" w:cs="Times New Roman"/>
          <w:sz w:val="22"/>
        </w:rPr>
      </w:pPr>
      <w:r>
        <w:rPr>
          <w:rFonts w:cs="Times New Roman" w:ascii="Times New Roman" w:hAnsi="Times New Roman"/>
          <w:sz w:val="22"/>
        </w:rPr>
        <w:t>Senior Counsel</w:t>
      </w:r>
    </w:p>
    <w:sectPr>
      <w:headerReference w:type="default" r:id="rId2"/>
      <w:headerReference w:type="first" r:id="rId3"/>
      <w:footerReference w:type="default" r:id="rId4"/>
      <w:footerReference w:type="first" r:id="rId5"/>
      <w:type w:val="nextPage"/>
      <w:pgSz w:w="12240" w:h="15840"/>
      <w:pgMar w:left="1440" w:right="1440"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/mnt/main-storage/datasets/enron-docs/doc/SouthAfrica.doc</w:t>
    </w:r>
    <w:r>
      <w:rPr>
        <w:sz w:val="12"/>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4</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DATE \@"MMMM\ d', 'yyyy"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September 28, 2025</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6"/>
      <w:szCs w:val="20"/>
      <w:lang w:val="en-US" w:eastAsia="zh-CN" w:bidi="hi-IN"/>
    </w:rPr>
  </w:style>
  <w:style w:type="paragraph" w:styleId="Heading1">
    <w:name w:val="heading 1"/>
    <w:basedOn w:val="Normal"/>
    <w:next w:val="Normal"/>
    <w:qFormat/>
    <w:pPr>
      <w:keepNext w:val="true"/>
      <w:numPr>
        <w:ilvl w:val="0"/>
        <w:numId w:val="1"/>
      </w:numPr>
      <w:spacing w:before="240" w:after="0"/>
      <w:outlineLvl w:val="0"/>
    </w:pPr>
    <w:rPr>
      <w:b/>
      <w:sz w:val="22"/>
      <w:u w:val="single"/>
    </w:rPr>
  </w:style>
  <w:style w:type="paragraph" w:styleId="Heading3">
    <w:name w:val="heading 3"/>
    <w:basedOn w:val="Normal"/>
    <w:next w:val="NormalIndent"/>
    <w:qFormat/>
    <w:pPr>
      <w:numPr>
        <w:ilvl w:val="2"/>
        <w:numId w:val="1"/>
      </w:numPr>
      <w:ind w:hanging="0" w:start="360" w:end="0"/>
      <w:outlineLvl w:val="2"/>
    </w:pPr>
    <w:rPr>
      <w:b/>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before="120" w:after="0"/>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ang2">
    <w:name w:val="hang2"/>
    <w:basedOn w:val="Normal"/>
    <w:next w:val="Normal"/>
    <w:qFormat/>
    <w:pPr>
      <w:ind w:hanging="2880" w:start="2880" w:end="0"/>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1999-10-18T19:40:00Z</dcterms:created>
  <dc:creator>ECT</dc:creator>
  <dc:description/>
  <dc:language>en-CA</dc:language>
  <cp:lastModifiedBy>sshackl</cp:lastModifiedBy>
  <cp:lastPrinted>1999-10-18T17:49:00Z</cp:lastPrinted>
  <dcterms:modified xsi:type="dcterms:W3CDTF">1999-10-18T20:20:00Z</dcterms:modified>
  <cp:revision>50</cp:revision>
  <dc:subject>letter form</dc:subject>
  <dc:title>letter form</dc:title>
</cp:coreProperties>
</file>