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sz w:val="22"/>
        </w:rPr>
      </w:pPr>
      <w:r>
        <w:rPr>
          <w:sz w:val="22"/>
        </w:rPr>
      </w:r>
    </w:p>
    <w:p>
      <w:pPr>
        <w:pStyle w:val="Header"/>
        <w:tabs>
          <w:tab w:val="clear" w:pos="4320"/>
          <w:tab w:val="clear" w:pos="8640"/>
        </w:tabs>
        <w:jc w:val="center"/>
        <w:rPr>
          <w:sz w:val="22"/>
        </w:rPr>
      </w:pPr>
      <w:r>
        <w:rPr>
          <w:sz w:val="22"/>
        </w:rPr>
      </w:r>
    </w:p>
    <w:p>
      <w:pPr>
        <w:pStyle w:val="Header"/>
        <w:tabs>
          <w:tab w:val="clear" w:pos="4320"/>
          <w:tab w:val="clear" w:pos="8640"/>
        </w:tabs>
        <w:jc w:val="center"/>
        <w:rPr>
          <w:sz w:val="22"/>
        </w:rPr>
      </w:pPr>
      <w:r>
        <w:rPr>
          <w:sz w:val="22"/>
        </w:rPr>
      </w:r>
    </w:p>
    <w:p>
      <w:pPr>
        <w:pStyle w:val="Header"/>
        <w:tabs>
          <w:tab w:val="clear" w:pos="4320"/>
          <w:tab w:val="clear" w:pos="8640"/>
        </w:tabs>
        <w:jc w:val="center"/>
        <w:rPr>
          <w:sz w:val="22"/>
        </w:rPr>
      </w:pPr>
      <w:r>
        <w:rPr>
          <w:sz w:val="22"/>
        </w:rPr>
      </w:r>
    </w:p>
    <w:p>
      <w:pPr>
        <w:pStyle w:val="Header"/>
        <w:tabs>
          <w:tab w:val="clear" w:pos="4320"/>
          <w:tab w:val="clear" w:pos="8640"/>
        </w:tabs>
        <w:jc w:val="center"/>
        <w:rPr>
          <w:sz w:val="22"/>
        </w:rPr>
      </w:pPr>
      <w:r>
        <w:rPr>
          <w:sz w:val="22"/>
        </w:rPr>
      </w:r>
    </w:p>
    <w:p>
      <w:pPr>
        <w:pStyle w:val="Header"/>
        <w:tabs>
          <w:tab w:val="clear" w:pos="4320"/>
          <w:tab w:val="clear" w:pos="8640"/>
        </w:tabs>
        <w:jc w:val="center"/>
        <w:rPr>
          <w:sz w:val="24"/>
        </w:rPr>
      </w:pPr>
      <w:r>
        <w:rPr>
          <w:sz w:val="24"/>
        </w:rPr>
        <w:t>May  _, 1999</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sz w:val="24"/>
        </w:rPr>
      </w:pPr>
      <w:r>
        <w:rPr>
          <w:sz w:val="24"/>
        </w:rPr>
        <w:t>CERTIFIED MAIL</w:t>
      </w:r>
    </w:p>
    <w:p>
      <w:pPr>
        <w:pStyle w:val="Normal"/>
        <w:rPr>
          <w:b/>
          <w:i/>
          <w:i/>
          <w:sz w:val="24"/>
        </w:rPr>
      </w:pPr>
      <w:r>
        <w:rPr>
          <w:b/>
          <w:i/>
          <w:sz w:val="24"/>
        </w:rPr>
        <w:t>RETURN RECEIPT REQUESTED</w:t>
      </w:r>
    </w:p>
    <w:p>
      <w:pPr>
        <w:pStyle w:val="Normal"/>
        <w:rPr>
          <w:b/>
          <w:i/>
          <w:i/>
          <w:sz w:val="24"/>
        </w:rPr>
      </w:pPr>
      <w:r>
        <w:rPr>
          <w:b/>
          <w:i/>
          <w:sz w:val="24"/>
        </w:rPr>
      </w:r>
    </w:p>
    <w:p>
      <w:pPr>
        <w:pStyle w:val="Normal"/>
        <w:rPr>
          <w:i/>
          <w:i/>
          <w:sz w:val="24"/>
        </w:rPr>
      </w:pPr>
      <w:r>
        <w:rPr>
          <w:i/>
          <w:sz w:val="24"/>
        </w:rPr>
      </w:r>
    </w:p>
    <w:p>
      <w:pPr>
        <w:pStyle w:val="Header"/>
        <w:tabs>
          <w:tab w:val="clear" w:pos="4320"/>
          <w:tab w:val="clear" w:pos="8640"/>
        </w:tabs>
        <w:rPr>
          <w:sz w:val="24"/>
        </w:rPr>
      </w:pPr>
      <w:r>
        <w:rPr>
          <w:sz w:val="24"/>
        </w:rPr>
        <w:t>Sonoco Products Company</w:t>
      </w:r>
    </w:p>
    <w:p>
      <w:pPr>
        <w:pStyle w:val="Normal"/>
        <w:rPr>
          <w:sz w:val="24"/>
        </w:rPr>
      </w:pPr>
      <w:r>
        <w:rPr>
          <w:sz w:val="24"/>
        </w:rPr>
        <w:t>North Second Street</w:t>
      </w:r>
    </w:p>
    <w:p>
      <w:pPr>
        <w:pStyle w:val="Normal"/>
        <w:rPr>
          <w:sz w:val="24"/>
        </w:rPr>
      </w:pPr>
      <w:r>
        <w:rPr>
          <w:sz w:val="24"/>
        </w:rPr>
        <w:t>Hartsville, S.C.  29550</w:t>
      </w:r>
    </w:p>
    <w:p>
      <w:pPr>
        <w:pStyle w:val="Normal"/>
        <w:rPr>
          <w:sz w:val="24"/>
        </w:rPr>
      </w:pPr>
      <w:r>
        <w:rPr>
          <w:sz w:val="24"/>
        </w:rPr>
        <w:t>Attn:  Mr. Ronald E. Holley</w:t>
      </w:r>
    </w:p>
    <w:p>
      <w:pPr>
        <w:pStyle w:val="Normal"/>
        <w:rPr>
          <w:sz w:val="24"/>
        </w:rPr>
      </w:pPr>
      <w:r>
        <w:rPr>
          <w:sz w:val="24"/>
        </w:rPr>
      </w:r>
    </w:p>
    <w:p>
      <w:pPr>
        <w:pStyle w:val="BodyTextIndent"/>
        <w:ind w:hanging="630" w:start="2070" w:end="0"/>
        <w:jc w:val="both"/>
        <w:rPr>
          <w:sz w:val="24"/>
        </w:rPr>
      </w:pPr>
      <w:r>
        <w:rPr>
          <w:sz w:val="24"/>
        </w:rPr>
        <w:t xml:space="preserve">Re:  Commodity Swap EK0673.1 dated April 15, 1998, as amended, (the “Transaction”) between Enron Capital &amp; Trade Resources Corp. (“ECT”) and Sonoco Products Company (“Sonoco”) </w:t>
      </w:r>
    </w:p>
    <w:p>
      <w:pPr>
        <w:pStyle w:val="BodyTextIndent"/>
        <w:ind w:hanging="0" w:start="0" w:end="0"/>
        <w:jc w:val="both"/>
        <w:rPr>
          <w:b w:val="false"/>
          <w:i w:val="false"/>
          <w:i w:val="false"/>
          <w:sz w:val="24"/>
        </w:rPr>
      </w:pPr>
      <w:r>
        <w:rPr>
          <w:b w:val="false"/>
          <w:i w:val="false"/>
          <w:sz w:val="24"/>
        </w:rPr>
      </w:r>
    </w:p>
    <w:p>
      <w:pPr>
        <w:pStyle w:val="BodyTextIndent"/>
        <w:ind w:hanging="0" w:start="0" w:end="0"/>
        <w:rPr>
          <w:b w:val="false"/>
          <w:i w:val="false"/>
          <w:i w:val="false"/>
          <w:sz w:val="24"/>
        </w:rPr>
      </w:pPr>
      <w:r>
        <w:rPr>
          <w:b w:val="false"/>
          <w:i w:val="false"/>
          <w:sz w:val="24"/>
        </w:rPr>
        <w:t>Dear Mr. Holley:</w:t>
      </w:r>
    </w:p>
    <w:p>
      <w:pPr>
        <w:pStyle w:val="BodyTextIndent"/>
        <w:ind w:hanging="0" w:start="0" w:end="0"/>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b/>
        <w:t>The Transaction referenced above terminated on March 31, 1999.  Our records reflect that Sonoco underpaid ECT by a total of $60,000, or $20,000 for each of the months of January, February and March, 1999.  Our calculations appear on Exhibit “A” attached hereto.</w:t>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pPr>
      <w:r>
        <w:rPr>
          <w:b w:val="false"/>
          <w:i w:val="false"/>
          <w:sz w:val="24"/>
        </w:rPr>
        <w:tab/>
        <w:t xml:space="preserve">We are aware of Sonoco’s position through correspondence between the parties over the past few months that pricing changes reported in 1999 by Chemical Data Inc. in its publication </w:t>
      </w:r>
      <w:r>
        <w:rPr>
          <w:b w:val="false"/>
          <w:sz w:val="24"/>
        </w:rPr>
        <w:t>Monthly Petrochemical &amp; Plastics Analysis</w:t>
      </w:r>
      <w:r>
        <w:rPr>
          <w:b w:val="false"/>
          <w:i w:val="false"/>
          <w:sz w:val="24"/>
        </w:rPr>
        <w:t xml:space="preserve"> (“MPPA”) have caused a “Market Disruption Event” as that term is defined in the confirmation of the Transaction.  ECT strongly disputes the existence of any Market Disruption Event.  ECT does agree that the January, 1999 price for HDPE-HMW film resin reported in MPPA was revised downward to $0.33/lb and that revision has been accounted for in the attached Exhibit “A”.</w:t>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b/>
        <w:t>ECT hereby demands payment of the outstanding $60,000 owed by Sonoco in final settlement of the Transaction.  If such amount is not received within 10 days, ECT intends to pursue any and all remedies available to it under the general terms and conditions of the confirmation of the Transaction.</w:t>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b/>
        <w:t>You may contact ____________________ if you have any questions.</w:t>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b/>
        <w:tab/>
        <w:tab/>
        <w:tab/>
        <w:tab/>
        <w:tab/>
        <w:tab/>
        <w:t>Very truly yours,</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/mnt/main-storage/datasets/enron-docs/doc/Sonoco.doc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1800" w:end="0"/>
    </w:pPr>
    <w:rPr>
      <w:b/>
      <w: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1999-05-05T13:01:00Z</dcterms:created>
  <dc:creator>kaye ellis</dc:creator>
  <dc:description/>
  <dc:language>en-CA</dc:language>
  <cp:lastModifiedBy>kaye ellis</cp:lastModifiedBy>
  <cp:lastPrinted>1999-05-05T15:02:00Z</cp:lastPrinted>
  <dcterms:modified xsi:type="dcterms:W3CDTF">1999-05-05T18:11:00Z</dcterms:modified>
  <cp:revision>2</cp:revision>
  <dc:subject/>
  <dc:title>May  _, 1999</dc:title>
</cp:coreProperties>
</file>