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000" w:type="dxa"/>
        <w:jc w:val="start"/>
        <w:tblInd w:w="-1672" w:type="dxa"/>
        <w:tblLayout w:type="fixed"/>
        <w:tblCellMar>
          <w:top w:w="0" w:type="dxa"/>
          <w:start w:w="0" w:type="dxa"/>
          <w:bottom w:w="0" w:type="dxa"/>
          <w:end w:w="0" w:type="dxa"/>
        </w:tblCellMar>
      </w:tblPr>
      <w:tblGrid>
        <w:gridCol w:w="587"/>
        <w:gridCol w:w="11413"/>
      </w:tblGrid>
      <w:tr>
        <w:trPr/>
        <w:tc>
          <w:tcPr>
            <w:tcW w:w="587"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11413" w:type="dxa"/>
            <w:tcBorders/>
          </w:tcPr>
          <w:p>
            <w:pPr>
              <w:pStyle w:val="Normal"/>
              <w:rPr/>
            </w:pPr>
            <w:r>
              <w:rPr>
                <w:rFonts w:cs="Verdana" w:ascii="Verdana" w:hAnsi="Verdana"/>
                <w:b/>
                <w:bCs/>
                <w:sz w:val="20"/>
                <w:szCs w:val="20"/>
              </w:rPr>
              <w:t>Tuesday, November 14,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2867025" cy="2095500"/>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3" t="-17" r="-13" b="-17"/>
                          <a:stretch>
                            <a:fillRect/>
                          </a:stretch>
                        </pic:blipFill>
                        <pic:spPr bwMode="auto">
                          <a:xfrm>
                            <a:off x="0" y="0"/>
                            <a:ext cx="2867025" cy="2095500"/>
                          </a:xfrm>
                          <a:prstGeom prst="rect">
                            <a:avLst/>
                          </a:prstGeom>
                          <a:noFill/>
                        </pic:spPr>
                      </pic:pic>
                    </a:graphicData>
                  </a:graphic>
                </wp:inline>
              </w:drawing>
            </w:r>
            <w:r>
              <w:rPr>
                <w:rFonts w:cs="Verdana" w:ascii="Verdana" w:hAnsi="Verdana"/>
                <w:sz w:val="20"/>
                <w:szCs w:val="20"/>
              </w:rPr>
              <w:br/>
              <w:br/>
              <w:t xml:space="preserve">By Dave Todd </w:t>
              <w:br/>
            </w:r>
            <w:hyperlink r:id="rId3">
              <w:r>
                <w:rPr>
                  <w:rStyle w:val="Hyperlink"/>
                  <w:rFonts w:cs="Verdana" w:ascii="Verdana" w:hAnsi="Verdana"/>
                  <w:sz w:val="20"/>
                  <w:szCs w:val="20"/>
                </w:rPr>
                <w:t>dtodd@ftenergy.com</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For all the post-mortems written about California's power supply and reliability woes this past summer, one overriding question has yet to be answered: How quickly will the state develop the new generation it needs to bridge the growing gap between demand and supply? </w:t>
            </w:r>
          </w:p>
          <w:p>
            <w:pPr>
              <w:pStyle w:val="NormalWeb"/>
              <w:rPr>
                <w:rFonts w:ascii="Verdana" w:hAnsi="Verdana" w:cs="Verdana"/>
                <w:sz w:val="20"/>
                <w:szCs w:val="20"/>
              </w:rPr>
            </w:pPr>
            <w:r>
              <w:rPr>
                <w:rFonts w:cs="Verdana" w:ascii="Verdana" w:hAnsi="Verdana"/>
                <w:sz w:val="20"/>
                <w:szCs w:val="20"/>
              </w:rPr>
              <w:t xml:space="preserve">When California deregulated electricity, demand grew eight times faster than in-state generation. According to the California Public Utilities Commission, power demand between 1996 and 1999 rose by 5,500 MW, while generation increased by a mere 672 MW. </w:t>
            </w:r>
          </w:p>
          <w:p>
            <w:pPr>
              <w:pStyle w:val="NormalWeb"/>
              <w:rPr>
                <w:rFonts w:ascii="Verdana" w:hAnsi="Verdana" w:cs="Verdana"/>
                <w:sz w:val="20"/>
                <w:szCs w:val="20"/>
              </w:rPr>
            </w:pPr>
            <w:r>
              <w:rPr>
                <w:rFonts w:cs="Verdana" w:ascii="Verdana" w:hAnsi="Verdana"/>
                <w:sz w:val="20"/>
                <w:szCs w:val="20"/>
              </w:rPr>
              <w:t xml:space="preserve">There are at least 13 major new plants or expansions under development in California and five under construction, although none are expected to come on line before 2002. That's a $7 billion addition to installed capacity and about a 25% boost in megawatts. </w:t>
            </w:r>
          </w:p>
          <w:p>
            <w:pPr>
              <w:pStyle w:val="NormalWeb"/>
              <w:rPr/>
            </w:pPr>
            <w:hyperlink r:id="rId4">
              <w:r>
                <w:rPr>
                  <w:rStyle w:val="Hyperlink"/>
                  <w:rFonts w:cs="Verdana" w:ascii="Verdana" w:hAnsi="Verdana"/>
                  <w:sz w:val="20"/>
                  <w:szCs w:val="20"/>
                </w:rPr>
                <w:t>Proposed CA Plants</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California Gov. Gray Davis remains concerned that the ISO-declared supply shortage alerts of this summer "may exist for the next two summers until new generation sources currently licensed become operational." </w:t>
            </w:r>
          </w:p>
          <w:p>
            <w:pPr>
              <w:pStyle w:val="NormalWeb"/>
              <w:rPr/>
            </w:pPr>
            <w:r>
              <w:rPr>
                <w:rFonts w:cs="Verdana" w:ascii="Verdana" w:hAnsi="Verdana"/>
                <w:b/>
                <w:bCs/>
                <w:sz w:val="20"/>
                <w:szCs w:val="20"/>
              </w:rPr>
              <w:t>Speeding Up the Process</w:t>
            </w:r>
            <w:r>
              <w:rPr>
                <w:rFonts w:cs="Verdana" w:ascii="Verdana" w:hAnsi="Verdana"/>
                <w:sz w:val="20"/>
                <w:szCs w:val="20"/>
              </w:rPr>
              <w:br/>
              <w:t xml:space="preserve">Two months ago, Mr. Davis signed into law AB-970, which slashes from one year to six months the time it takes to formally review new generation projects. Earlier this year, Mr. Davis ordered all state agencies involved in power plant licensing to sharply reduce the time it takes to determine whether an applicant's proposal is in order. </w:t>
            </w:r>
          </w:p>
          <w:p>
            <w:pPr>
              <w:pStyle w:val="NormalWeb"/>
              <w:rPr>
                <w:rFonts w:ascii="Verdana" w:hAnsi="Verdana" w:cs="Verdana"/>
                <w:sz w:val="20"/>
                <w:szCs w:val="20"/>
              </w:rPr>
            </w:pPr>
            <w:r>
              <w:rPr>
                <w:rFonts w:cs="Verdana" w:ascii="Verdana" w:hAnsi="Verdana"/>
                <w:sz w:val="20"/>
                <w:szCs w:val="20"/>
              </w:rPr>
              <w:t xml:space="preserve">According to a PaineWebber analysis of California energy market dynamics, recent efforts by the Federal Energy Regulatory Commission to address the problem of California's "seriously flawed" wholesale electric power markets, amount to "bold action" that shows resolve on FERC's part not to "wait for officials in California to try to resolve systemic problems." These include challenges posed by "inadequate methods of siting new generation and transmission and demand-side management." </w:t>
            </w:r>
          </w:p>
          <w:p>
            <w:pPr>
              <w:pStyle w:val="NormalWeb"/>
              <w:rPr>
                <w:rFonts w:ascii="Verdana" w:hAnsi="Verdana" w:cs="Verdana"/>
                <w:sz w:val="20"/>
                <w:szCs w:val="20"/>
              </w:rPr>
            </w:pPr>
            <w:r>
              <w:rPr>
                <w:rFonts w:cs="Verdana" w:ascii="Verdana" w:hAnsi="Verdana"/>
                <w:sz w:val="20"/>
                <w:szCs w:val="20"/>
              </w:rPr>
              <w:t xml:space="preserve">FERC, in its Nov. 1 "proposed order" expected to be issued in final form next month, said the "single most important remedy the California market needs is the elimination of rules that hinder market participants." This refers to a process that has the California ISO and Power Exchange overseeing a system in which utilities obtain up to 80% of their electric load in hourly and day-ahead, single-price spot market auctions, thus promoting price volatility that discourages growth in in-state electric generation. The extremely long lead-time needed to build within the "Golden State" also is a problem. </w:t>
            </w:r>
          </w:p>
          <w:p>
            <w:pPr>
              <w:pStyle w:val="NormalWeb"/>
              <w:rPr>
                <w:rFonts w:ascii="Verdana" w:hAnsi="Verdana" w:cs="Verdana"/>
                <w:sz w:val="20"/>
                <w:szCs w:val="20"/>
              </w:rPr>
            </w:pPr>
            <w:r>
              <w:rPr>
                <w:rFonts w:cs="Verdana" w:ascii="Verdana" w:hAnsi="Verdana"/>
                <w:sz w:val="20"/>
                <w:szCs w:val="20"/>
              </w:rPr>
              <w:t xml:space="preserve">California utilities also have had to eat major increases in wholesale electric power prices this year because rates still are frozen at 1996 levels. Rates won't thaw until March 31, 2002. All customers pay a stranded cost surcharge on their power bills. </w:t>
            </w:r>
          </w:p>
          <w:p>
            <w:pPr>
              <w:pStyle w:val="NormalWeb"/>
              <w:rPr>
                <w:rFonts w:ascii="Verdana" w:hAnsi="Verdana" w:cs="Verdana"/>
                <w:sz w:val="20"/>
                <w:szCs w:val="20"/>
              </w:rPr>
            </w:pPr>
            <w:r>
              <w:rPr>
                <w:rFonts w:cs="Verdana" w:ascii="Verdana" w:hAnsi="Verdana"/>
                <w:sz w:val="20"/>
                <w:szCs w:val="20"/>
              </w:rPr>
              <w:t xml:space="preserve">Unrecoverable expenses could exceed $5 billion, according to industry analysts, with the state's two biggest electric utilities, Pacific Gas &amp; Electric and Southern California Edison, bearing the brunt of the under collection. This unpaid bill is a serious disincentive to building new generation, and is a horrendous drag on shareholder equity. </w:t>
            </w:r>
          </w:p>
          <w:p>
            <w:pPr>
              <w:pStyle w:val="NormalWeb"/>
              <w:rPr>
                <w:rFonts w:ascii="Verdana" w:hAnsi="Verdana" w:cs="Verdana"/>
                <w:sz w:val="20"/>
                <w:szCs w:val="20"/>
              </w:rPr>
            </w:pPr>
            <w:r>
              <w:rPr>
                <w:rFonts w:cs="Verdana" w:ascii="Verdana" w:hAnsi="Verdana"/>
                <w:sz w:val="20"/>
                <w:szCs w:val="20"/>
              </w:rPr>
              <w:t xml:space="preserve">Another structural change to the California system, certain to be included in FERC's final order to the state, is the elimination of stakeholder representation on both the ISO and Power Exchange. This is a much-sought reform that has been encouraged by such influential neutral bodies as the North American Electric Reliability Council. </w:t>
            </w:r>
          </w:p>
          <w:p>
            <w:pPr>
              <w:pStyle w:val="NormalWeb"/>
              <w:rPr>
                <w:rFonts w:ascii="Verdana" w:hAnsi="Verdana" w:cs="Verdana"/>
                <w:sz w:val="20"/>
                <w:szCs w:val="20"/>
              </w:rPr>
            </w:pPr>
            <w:r>
              <w:rPr>
                <w:rFonts w:cs="Verdana" w:ascii="Verdana" w:hAnsi="Verdana"/>
                <w:sz w:val="20"/>
                <w:szCs w:val="20"/>
              </w:rPr>
              <w:t xml:space="preserve">Gov. Davis and other California politicians have weighed in on FERC's proposed order, blasting the commission for not ordering consumer refunds. In addition, Mr. Davis told FERC to keep its hands off any CAISO or PX board reorganization. </w:t>
            </w:r>
          </w:p>
          <w:p>
            <w:pPr>
              <w:pStyle w:val="NormalWeb"/>
              <w:rPr>
                <w:rFonts w:ascii="Verdana" w:hAnsi="Verdana" w:cs="Verdana"/>
                <w:sz w:val="20"/>
                <w:szCs w:val="20"/>
              </w:rPr>
            </w:pPr>
            <w:r>
              <w:rPr>
                <w:rFonts w:cs="Verdana" w:ascii="Verdana" w:hAnsi="Verdana"/>
                <w:sz w:val="20"/>
                <w:szCs w:val="20"/>
              </w:rPr>
              <w:t xml:space="preserve">For its part, NERC, in a just-released assessment of North American electric reliability issues through 2009, expressed particular concern about the so-called California-Mexico Power Area that encompasses most of California and the northern portion of Mexico's Baja California. The report, which notes that merchant plant developers intend to build more than 190,000 MW of capacity nationwide by 2004, says that it would be quite a respectable achievement if even half of those plans materialize, but voices strong doubt about California's contribution. </w:t>
            </w:r>
          </w:p>
          <w:p>
            <w:pPr>
              <w:pStyle w:val="NormalWeb"/>
              <w:rPr>
                <w:rFonts w:ascii="Verdana" w:hAnsi="Verdana" w:cs="Verdana"/>
                <w:sz w:val="20"/>
                <w:szCs w:val="20"/>
              </w:rPr>
            </w:pPr>
            <w:r>
              <w:rPr>
                <w:rFonts w:cs="Verdana" w:ascii="Verdana" w:hAnsi="Verdana"/>
                <w:sz w:val="20"/>
                <w:szCs w:val="20"/>
              </w:rPr>
              <w:t xml:space="preserve">"Restructuring of the electric industry in California has added much uncertainty to future adequacy projections of generating capacity, energy production by independent power producers and the effects of customer energy efficiency/demand-side management programs," says a chapter of the NERC study, submitted by the Western Systems Coordinating Council. </w:t>
            </w:r>
          </w:p>
          <w:p>
            <w:pPr>
              <w:pStyle w:val="NormalWeb"/>
              <w:rPr>
                <w:rFonts w:ascii="Verdana" w:hAnsi="Verdana" w:cs="Verdana"/>
                <w:sz w:val="20"/>
                <w:szCs w:val="20"/>
              </w:rPr>
            </w:pPr>
            <w:r>
              <w:rPr>
                <w:rFonts w:cs="Verdana" w:ascii="Verdana" w:hAnsi="Verdana"/>
                <w:sz w:val="20"/>
                <w:szCs w:val="20"/>
              </w:rPr>
              <w:t xml:space="preserve">"Recognizing that future forecast uncertainty exists, peak demands and annual energy requirements are currently projected to grow at respective annual compound rates of 1.8% and 2.1% from 1999 through 2009. Projected resource capacity margins range between 9.3% and 17.8% of firm peak demand for the next 10 years," the report predicts. </w:t>
            </w:r>
          </w:p>
          <w:p>
            <w:pPr>
              <w:pStyle w:val="NormalWeb"/>
              <w:rPr>
                <w:rFonts w:ascii="Verdana" w:hAnsi="Verdana" w:cs="Verdana"/>
                <w:sz w:val="20"/>
                <w:szCs w:val="20"/>
              </w:rPr>
            </w:pPr>
            <w:r>
              <w:rPr>
                <w:rFonts w:cs="Verdana" w:ascii="Verdana" w:hAnsi="Verdana"/>
                <w:sz w:val="20"/>
                <w:szCs w:val="20"/>
              </w:rPr>
              <w:t xml:space="preserve">Energy analysts who follow the systemic issues plaguing residents of California also are concerned that the state has insufficient transmission connections. For all of the U.S. and Canada, only 8,445 miles of transmission facility additions rated at 230kV or greater are planned over the next 10 years, NERC said. That represents only a 4.2% increase in total installed circuit miles. Most of it is intended to address local transmission concerns and will not have a significant effect on long distance power transfers. </w:t>
            </w:r>
          </w:p>
          <w:p>
            <w:pPr>
              <w:pStyle w:val="NormalWeb"/>
              <w:rPr/>
            </w:pPr>
            <w:r>
              <w:rPr>
                <w:rFonts w:cs="Verdana" w:ascii="Verdana" w:hAnsi="Verdana"/>
                <w:b/>
                <w:bCs/>
                <w:sz w:val="20"/>
                <w:szCs w:val="20"/>
              </w:rPr>
              <w:t>Blame It on Geography</w:t>
            </w:r>
            <w:r>
              <w:rPr>
                <w:rFonts w:cs="Verdana" w:ascii="Verdana" w:hAnsi="Verdana"/>
                <w:sz w:val="20"/>
                <w:szCs w:val="20"/>
              </w:rPr>
              <w:br/>
              <w:t xml:space="preserve">When it comes to California's electric woes, blame geography in part. </w:t>
            </w:r>
          </w:p>
          <w:p>
            <w:pPr>
              <w:pStyle w:val="NormalWeb"/>
              <w:rPr>
                <w:rFonts w:ascii="Verdana" w:hAnsi="Verdana" w:cs="Verdana"/>
                <w:sz w:val="20"/>
                <w:szCs w:val="20"/>
              </w:rPr>
            </w:pPr>
            <w:r>
              <w:rPr>
                <w:rFonts w:cs="Verdana" w:ascii="Verdana" w:hAnsi="Verdana"/>
                <w:sz w:val="20"/>
                <w:szCs w:val="20"/>
              </w:rPr>
              <w:t xml:space="preserve">"One of the particulars for California is that it's at the end of the country, and the simple fact of it having no geographical interconnects to the west," said a coauthor of the NERC 2000-2009 reliability study. "There are some pockets in California that pose some particular problems" because of geography. "The San Francisco Bay area is one of them; there are only so many ways to get power into there and they only have so many generators that they're allowed to build and run in that area — and if they drop out, then you have problems like they had with rotating blackouts this past summer." </w:t>
            </w:r>
          </w:p>
          <w:p>
            <w:pPr>
              <w:pStyle w:val="NormalWeb"/>
              <w:rPr>
                <w:rFonts w:ascii="Verdana" w:hAnsi="Verdana" w:cs="Verdana"/>
                <w:sz w:val="20"/>
                <w:szCs w:val="20"/>
              </w:rPr>
            </w:pPr>
            <w:r>
              <w:rPr>
                <w:rFonts w:cs="Verdana" w:ascii="Verdana" w:hAnsi="Verdana"/>
                <w:sz w:val="20"/>
                <w:szCs w:val="20"/>
              </w:rPr>
              <w:t xml:space="preserve">That suggests San Francisco and environs ought to be made a primary target for expedited development to meet new generation demands. However, the complicated local politics of that part of California would tend to make such a process less likely than in some other regions. </w:t>
            </w:r>
          </w:p>
          <w:p>
            <w:pPr>
              <w:pStyle w:val="NormalWeb"/>
              <w:rPr>
                <w:rFonts w:ascii="Verdana" w:hAnsi="Verdana" w:cs="Verdana"/>
                <w:sz w:val="20"/>
                <w:szCs w:val="20"/>
              </w:rPr>
            </w:pPr>
            <w:r>
              <w:rPr>
                <w:rFonts w:cs="Verdana" w:ascii="Verdana" w:hAnsi="Verdana"/>
                <w:sz w:val="20"/>
                <w:szCs w:val="20"/>
              </w:rPr>
              <w:t xml:space="preserve">In southern California, the frustrations encountered by would-be power plant developers, as a result of that area's political and geographical constraints, have resulted in a very limited number of sites where power plants could be located. Unfortunately, say utility industry officials, the transmission system in much of southern California was constructed in a way that will not allow large amounts of power to be moved from that area to the rest of the state. The state stands out as a prime example of one of NERC's greatest fears: that between now and 2010, "transmission congestion and limitations will increase, necessitating ever greater vigilance over power shortages in some areas of the United States and creating ripple effects that drag reliability down in others." </w:t>
            </w:r>
          </w:p>
          <w:p>
            <w:pPr>
              <w:pStyle w:val="NormalWeb"/>
              <w:rPr>
                <w:rFonts w:ascii="Verdana" w:hAnsi="Verdana" w:cs="Verdana"/>
                <w:sz w:val="20"/>
                <w:szCs w:val="20"/>
              </w:rPr>
            </w:pPr>
            <w:r>
              <w:rPr>
                <w:rFonts w:cs="Verdana" w:ascii="Verdana" w:hAnsi="Verdana"/>
                <w:sz w:val="20"/>
                <w:szCs w:val="20"/>
              </w:rPr>
              <w:t xml:space="preserve">All of this leads to questions about the future potential for moving more power into California from out of state. And what about moving power out in times of challenge — an issue that has been little explored? This past summer, as was their right, some generators within the California ISO chose to sell electricity into other states while California was undergoing power shortages. </w:t>
            </w:r>
          </w:p>
          <w:p>
            <w:pPr>
              <w:pStyle w:val="NormalWeb"/>
              <w:rPr>
                <w:rFonts w:ascii="Verdana" w:hAnsi="Verdana" w:cs="Verdana"/>
                <w:sz w:val="20"/>
                <w:szCs w:val="20"/>
              </w:rPr>
            </w:pPr>
            <w:r>
              <w:rPr>
                <w:rFonts w:cs="Verdana" w:ascii="Verdana" w:hAnsi="Verdana"/>
                <w:sz w:val="20"/>
                <w:szCs w:val="20"/>
              </w:rPr>
              <w:t xml:space="preserve">Utilities based in Washington, Oregon, Idaho and Montana warn that because of rising demand from within their immediate service zones, California cannot count on their help. The Bonneville Power Administration recently signed contracts with utilities in its region confirming its desire to provide less power to California in the future. </w:t>
            </w:r>
          </w:p>
          <w:p>
            <w:pPr>
              <w:pStyle w:val="NormalWeb"/>
              <w:rPr>
                <w:rFonts w:ascii="Verdana" w:hAnsi="Verdana" w:cs="Verdana"/>
                <w:sz w:val="20"/>
                <w:szCs w:val="20"/>
              </w:rPr>
            </w:pPr>
            <w:r>
              <w:rPr>
                <w:rFonts w:cs="Verdana" w:ascii="Verdana" w:hAnsi="Verdana"/>
                <w:sz w:val="20"/>
                <w:szCs w:val="20"/>
              </w:rPr>
              <w:t xml:space="preserve">North of the 49th parallel, British Columbia and Alberta have taken a different approach. BC Hydro wants to sell even more power to California because the U.S. dollar far outweighs the Canadian dollar right now. The Canadian dollar hit historic lows recently, placing it under 65 cents U.S. That means Canadian companies selling power into California at spot U.S. prices earn a much higher return on their sales. </w:t>
            </w:r>
          </w:p>
          <w:p>
            <w:pPr>
              <w:pStyle w:val="NormalWeb"/>
              <w:rPr/>
            </w:pPr>
            <w:r>
              <w:rPr>
                <w:rFonts w:cs="Verdana" w:ascii="Verdana" w:hAnsi="Verdana"/>
                <w:b/>
                <w:bCs/>
                <w:sz w:val="20"/>
                <w:szCs w:val="20"/>
              </w:rPr>
              <w:t>Hydro Dam Relicensing Looms</w:t>
            </w:r>
            <w:r>
              <w:rPr>
                <w:rFonts w:cs="Verdana" w:ascii="Verdana" w:hAnsi="Verdana"/>
                <w:sz w:val="20"/>
                <w:szCs w:val="20"/>
              </w:rPr>
              <w:br/>
              <w:t xml:space="preserve">Another potential complication in satisfying California's future energy demands is that an unusually large number of Sierra Nevada hydroelectric dams in the state's easterly reaches are coming up for relicensing this decade. These are nonfederal dams that nonetheless fall under a FERC relicensing program that establishes flow requirements and fishery protection measures on owner-operators. For its part, the California Department of Water Resources says, "the impact of deregulation of the electric industry on relicensing decisions is uncertain." </w:t>
            </w:r>
          </w:p>
          <w:p>
            <w:pPr>
              <w:pStyle w:val="NormalWeb"/>
              <w:spacing w:before="280" w:after="0"/>
              <w:rPr>
                <w:rFonts w:ascii="Verdana" w:hAnsi="Verdana" w:cs="Verdana"/>
                <w:sz w:val="20"/>
                <w:szCs w:val="20"/>
              </w:rPr>
            </w:pPr>
            <w:r>
              <w:rPr>
                <w:rFonts w:cs="Verdana" w:ascii="Verdana" w:hAnsi="Verdana"/>
                <w:sz w:val="20"/>
                <w:szCs w:val="20"/>
              </w:rPr>
              <w:t xml:space="preserve">Until that and many other questions concerning the state's future power demands are met, it looks like a lot of people still are — as the 1960s song puts it — California Dreaming. </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todd@ftenergy.com" TargetMode="External"/><Relationship Id="rId4" Type="http://schemas.openxmlformats.org/officeDocument/2006/relationships/hyperlink" Target="http://public.resdata.com/ei_modules/current/page1.asp"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2000-11-14T17:36:00Z</dcterms:created>
  <dc:creator>mbuster</dc:creator>
  <dc:description/>
  <dc:language>en-CA</dc:language>
  <cp:lastModifiedBy>mbuster</cp:lastModifiedBy>
  <dcterms:modified xsi:type="dcterms:W3CDTF">2000-11-14T17:41:00Z</dcterms:modified>
  <cp:revision>1</cp:revision>
  <dc:subject/>
  <dc:title>Tuesday, November 14, 2000 </dc:title>
</cp:coreProperties>
</file>