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i/>
          <w:i/>
          <w:iCs/>
          <w:vanish/>
          <w:sz w:val="20"/>
        </w:rPr>
      </w:pPr>
      <w:r>
        <w:rPr>
          <w:i/>
          <w:iCs/>
          <w:vanish/>
          <w:sz w:val="20"/>
        </w:rPr>
      </w:r>
    </w:p>
    <w:p>
      <w:pPr>
        <w:pStyle w:val="Heading1"/>
        <w:ind w:hanging="0" w:start="0"/>
        <w:rPr/>
      </w:pPr>
      <w:r>
        <w:rPr>
          <w:i/>
          <w:iCs/>
          <w:sz w:val="20"/>
        </w:rPr>
        <w:t xml:space="preserve">The Bad News: </w:t>
        <w:tab/>
        <w:t>California’s Solution Is Re-regulate and/or State</w:t>
      </w:r>
      <w:r>
        <w:rPr>
          <w:sz w:val="20"/>
        </w:rPr>
        <w:t xml:space="preserve"> </w:t>
      </w:r>
      <w:r>
        <w:rPr>
          <w:i/>
          <w:iCs/>
          <w:sz w:val="20"/>
        </w:rPr>
        <w:t>Control</w:t>
      </w:r>
    </w:p>
    <w:p>
      <w:pPr>
        <w:pStyle w:val="Normal"/>
        <w:rPr>
          <w:i/>
          <w:i/>
          <w:iCs/>
          <w:vanish/>
          <w:sz w:val="20"/>
        </w:rPr>
      </w:pPr>
      <w:r>
        <w:rPr>
          <w:i/>
          <w:iCs/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numPr>
          <w:ilvl w:val="0"/>
          <w:numId w:val="2"/>
        </w:numPr>
        <w:rPr>
          <w:rFonts w:ascii="Arial Unicode MS" w:hAnsi="Arial Unicode MS" w:eastAsia="Arial Unicode MS" w:cs="Arial Unicode MS"/>
          <w:sz w:val="20"/>
        </w:rPr>
      </w:pPr>
      <w:r>
        <w:rPr>
          <w:b/>
          <w:bCs/>
          <w:i/>
          <w:iCs/>
          <w:sz w:val="20"/>
        </w:rPr>
        <w:t>ABx1</w:t>
        <w:tab/>
        <w:t>Hertzberg</w:t>
      </w:r>
      <w:r>
        <w:rPr>
          <w:sz w:val="20"/>
        </w:rPr>
        <w:tab/>
        <w:t>Signed by Governor</w:t>
      </w:r>
    </w:p>
    <w:p>
      <w:pPr>
        <w:pStyle w:val="Normal"/>
        <w:rPr>
          <w:sz w:val="20"/>
        </w:rPr>
      </w:pPr>
      <w:r>
        <w:rPr>
          <w:sz w:val="20"/>
        </w:rPr>
        <w:t xml:space="preserve">Approved CDWR as buying agent </w:t>
      </w:r>
      <w:r>
        <w:rPr>
          <w:sz w:val="20"/>
          <w:u w:val="single"/>
        </w:rPr>
        <w:t>and</w:t>
      </w:r>
      <w:r>
        <w:rPr>
          <w:sz w:val="20"/>
        </w:rPr>
        <w:t xml:space="preserve"> ended Direct Access</w:t>
      </w:r>
      <w:r>
        <w:rPr>
          <w:b/>
          <w:bCs/>
          <w:i/>
          <w:iCs/>
          <w:sz w:val="20"/>
        </w:rPr>
        <w:t xml:space="preserve"> </w:t>
      </w:r>
    </w:p>
    <w:p>
      <w:pPr>
        <w:pStyle w:val="Normal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b/>
          <w:bCs/>
          <w:i/>
          <w:iCs/>
          <w:sz w:val="20"/>
        </w:rPr>
        <w:t xml:space="preserve">SBx6 </w:t>
        <w:tab/>
        <w:t>Burton</w:t>
      </w:r>
      <w:r>
        <w:rPr>
          <w:sz w:val="20"/>
        </w:rPr>
        <w:tab/>
        <w:tab/>
        <w:t>Passed Full Senate</w:t>
      </w:r>
    </w:p>
    <w:p>
      <w:pPr>
        <w:pStyle w:val="Normal"/>
        <w:rPr>
          <w:sz w:val="20"/>
        </w:rPr>
      </w:pPr>
      <w:r>
        <w:rPr>
          <w:sz w:val="20"/>
        </w:rPr>
        <w:t>State would have authority over own, operating, and construct power plants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b/>
          <w:bCs/>
          <w:i/>
          <w:iCs/>
          <w:sz w:val="20"/>
        </w:rPr>
        <w:t>SBx33</w:t>
        <w:tab/>
        <w:t>Burton</w:t>
      </w:r>
      <w:r>
        <w:rPr>
          <w:sz w:val="20"/>
        </w:rPr>
        <w:tab/>
        <w:tab/>
        <w:t>Passed Full Senate</w:t>
      </w:r>
    </w:p>
    <w:p>
      <w:pPr>
        <w:pStyle w:val="Normal"/>
        <w:rPr>
          <w:sz w:val="20"/>
        </w:rPr>
      </w:pPr>
      <w:r>
        <w:rPr>
          <w:sz w:val="20"/>
        </w:rPr>
        <w:t>State would acquire and operate all transmission facilities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b/>
          <w:bCs/>
          <w:i/>
          <w:iCs/>
          <w:sz w:val="20"/>
        </w:rPr>
        <w:t>SBx39</w:t>
        <w:tab/>
        <w:t>Speier</w:t>
      </w:r>
      <w:r>
        <w:rPr>
          <w:sz w:val="20"/>
        </w:rPr>
        <w:tab/>
        <w:tab/>
        <w:t>Passed Senate Committee</w:t>
      </w:r>
    </w:p>
    <w:p>
      <w:pPr>
        <w:pStyle w:val="Normal"/>
        <w:rPr>
          <w:sz w:val="20"/>
        </w:rPr>
      </w:pPr>
      <w:r>
        <w:rPr>
          <w:sz w:val="20"/>
        </w:rPr>
        <w:t>State would classify all generation as public utility and dictate operations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rPr>
          <w:rFonts w:ascii="Arial Unicode MS" w:hAnsi="Arial Unicode MS" w:eastAsia="Arial Unicode MS" w:cs="Arial Unicode MS"/>
          <w:sz w:val="20"/>
        </w:rPr>
      </w:pPr>
      <w:r>
        <w:rPr>
          <w:b/>
          <w:bCs/>
          <w:i/>
          <w:iCs/>
          <w:sz w:val="20"/>
        </w:rPr>
        <w:t>ABx27</w:t>
        <w:tab/>
        <w:t>Bowen</w:t>
        <w:tab/>
        <w:tab/>
      </w:r>
      <w:r>
        <w:rPr>
          <w:sz w:val="20"/>
        </w:rPr>
        <w:t>No Action</w:t>
      </w:r>
    </w:p>
    <w:p>
      <w:pPr>
        <w:pStyle w:val="Normal"/>
        <w:rPr>
          <w:sz w:val="20"/>
        </w:rPr>
      </w:pPr>
      <w:r>
        <w:rPr>
          <w:sz w:val="20"/>
        </w:rPr>
        <w:t>Modify direct access prohibition to allow some competition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b/>
          <w:bCs/>
          <w:i/>
          <w:iCs/>
          <w:sz w:val="20"/>
        </w:rPr>
        <w:t>ABx31</w:t>
        <w:tab/>
        <w:t>Wright</w:t>
      </w:r>
      <w:r>
        <w:rPr>
          <w:sz w:val="20"/>
        </w:rPr>
        <w:tab/>
        <w:tab/>
        <w:t>No Action</w:t>
      </w:r>
    </w:p>
    <w:p>
      <w:pPr>
        <w:pStyle w:val="Normal"/>
        <w:rPr>
          <w:sz w:val="20"/>
        </w:rPr>
      </w:pPr>
      <w:r>
        <w:rPr>
          <w:sz w:val="20"/>
        </w:rPr>
        <w:t>Implement negawatt program to buy-down demand Summer 2001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b/>
          <w:bCs/>
          <w:i/>
          <w:iCs/>
          <w:sz w:val="20"/>
        </w:rPr>
        <w:t>SBx28</w:t>
        <w:tab/>
        <w:t>Sher</w:t>
        <w:tab/>
      </w:r>
      <w:r>
        <w:rPr>
          <w:sz w:val="20"/>
        </w:rPr>
        <w:tab/>
        <w:t>No Action</w:t>
      </w:r>
    </w:p>
    <w:p>
      <w:pPr>
        <w:pStyle w:val="Normal"/>
        <w:rPr>
          <w:sz w:val="20"/>
        </w:rPr>
      </w:pPr>
      <w:r>
        <w:rPr>
          <w:sz w:val="20"/>
        </w:rPr>
        <w:t>Reform siting processes to expedite development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rFonts w:ascii="Arial Unicode MS" w:hAnsi="Arial Unicode MS" w:eastAsia="Arial Unicode MS" w:cs="Arial Unicode MS"/>
          <w:b/>
          <w:bCs/>
          <w:i/>
          <w:i/>
          <w:iCs/>
          <w:vanish/>
          <w:sz w:val="20"/>
        </w:rPr>
      </w:pPr>
      <w:r>
        <w:rPr>
          <w:b/>
          <w:bCs/>
          <w:i/>
          <w:iCs/>
          <w:color w:val="000000"/>
          <w:sz w:val="20"/>
          <w:szCs w:val="32"/>
        </w:rPr>
        <w:t>The Good News:</w:t>
        <w:tab/>
        <w:t xml:space="preserve">There are thing California can do to get back on track </w:t>
      </w:r>
    </w:p>
    <w:p>
      <w:pPr>
        <w:pStyle w:val="Normal"/>
        <w:rPr>
          <w:rFonts w:ascii="Wingdings" w:hAnsi="Wingdings" w:eastAsia="Arial Unicode MS" w:cs="Wingdings"/>
          <w:b/>
          <w:bCs/>
          <w:i/>
          <w:i/>
          <w:iCs/>
          <w:vanish/>
          <w:sz w:val="20"/>
        </w:rPr>
      </w:pPr>
      <w:r>
        <w:rPr>
          <w:rFonts w:eastAsia="Arial Unicode MS" w:cs="Wingdings" w:ascii="Wingdings" w:hAnsi="Wingdings"/>
          <w:b/>
          <w:bCs/>
          <w:i/>
          <w:iCs/>
          <w:vanish/>
          <w:sz w:val="20"/>
        </w:rPr>
      </w:r>
    </w:p>
    <w:p>
      <w:pPr>
        <w:pStyle w:val="Normal"/>
        <w:rPr>
          <w:rFonts w:ascii="Wingdings" w:hAnsi="Wingdings" w:cs="Wingdings"/>
          <w:b/>
          <w:bCs/>
          <w:i/>
          <w:i/>
          <w:iCs/>
          <w:sz w:val="20"/>
        </w:rPr>
      </w:pPr>
      <w:r>
        <w:rPr>
          <w:rFonts w:cs="Wingdings" w:ascii="Wingdings" w:hAnsi="Wingdings"/>
          <w:b/>
          <w:bCs/>
          <w:i/>
          <w:iCs/>
          <w:sz w:val="20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rFonts w:ascii="Arial Unicode MS" w:hAnsi="Arial Unicode MS" w:eastAsia="Arial Unicode MS" w:cs="Arial Unicode MS"/>
          <w:sz w:val="20"/>
        </w:rPr>
      </w:pPr>
      <w:r>
        <w:rPr>
          <w:sz w:val="20"/>
        </w:rPr>
        <w:t xml:space="preserve">Remove AB1X prohibition on Direct Access 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  <w:t>Vehicle:</w:t>
        <w:tab/>
        <w:t>Amend SB27X</w:t>
        <w:tab/>
        <w:tab/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  <w:t>Status:</w:t>
        <w:tab/>
        <w:t>No action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sz w:val="20"/>
        </w:rPr>
      </w:pPr>
      <w:r>
        <w:rPr>
          <w:sz w:val="20"/>
        </w:rPr>
        <w:t xml:space="preserve">Secure prospective, date certain end to AB1890 rate freeze. (Secures recovery of EES’ PX Credit receivables) 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  <w:t>Vehicle:</w:t>
        <w:tab/>
        <w:t>Amend AB18</w:t>
        <w:tab/>
        <w:tab/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  <w:t>Status:</w:t>
        <w:tab/>
        <w:t>No action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sz w:val="20"/>
        </w:rPr>
      </w:pPr>
      <w:r>
        <w:rPr>
          <w:sz w:val="20"/>
        </w:rPr>
        <w:t xml:space="preserve">Prevent “nationalization” of transmission grid and power business 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  <w:t>Vehicle:</w:t>
        <w:tab/>
        <w:t>Block SB33/SB6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  <w:t>Status:</w:t>
        <w:tab/>
        <w:t>Passed Senate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sz w:val="20"/>
        </w:rPr>
      </w:pPr>
      <w:r>
        <w:rPr>
          <w:sz w:val="20"/>
        </w:rPr>
        <w:t>Make “nationalization” contingent upon FERC “open access” jurisdiction under Order 888</w:t>
      </w:r>
    </w:p>
    <w:p>
      <w:pPr>
        <w:pStyle w:val="Normal"/>
        <w:ind w:start="288" w:end="0"/>
        <w:rPr>
          <w:sz w:val="20"/>
        </w:rPr>
      </w:pPr>
      <w:r>
        <w:rPr>
          <w:sz w:val="20"/>
        </w:rPr>
        <w:t>Vehicle:</w:t>
        <w:tab/>
        <w:t>Add legislative language to any final deal with the utilities</w:t>
      </w:r>
    </w:p>
    <w:p>
      <w:pPr>
        <w:pStyle w:val="Normal"/>
        <w:ind w:start="288" w:end="0"/>
        <w:rPr>
          <w:sz w:val="20"/>
        </w:rPr>
      </w:pPr>
      <w:r>
        <w:rPr>
          <w:sz w:val="20"/>
        </w:rPr>
        <w:t>Status:</w:t>
        <w:tab/>
        <w:t>Not on the table</w:t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rFonts w:ascii="Arial Unicode MS" w:hAnsi="Arial Unicode MS" w:eastAsia="Arial Unicode MS" w:cs="Arial Unicode MS"/>
          <w:sz w:val="20"/>
        </w:rPr>
      </w:pPr>
      <w:r>
        <w:rPr>
          <w:sz w:val="20"/>
        </w:rPr>
        <w:t xml:space="preserve">Make CDWR creditworthy 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  <w:t>Vehicle:</w:t>
        <w:tab/>
        <w:t>PUC decision and/or legislative language (Enron provided both models to Brulte)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  <w:t>Status:</w:t>
        <w:tab/>
        <w:t>PUC Commissioner issued proposal that contains parts of Enron’s proposed solution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sz w:val="20"/>
        </w:rPr>
      </w:pPr>
      <w:r>
        <w:rPr>
          <w:sz w:val="20"/>
        </w:rPr>
        <w:t xml:space="preserve">Reform generation siting process (including removal of DG hurdles) 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  <w:t>Vehicle:</w:t>
        <w:tab/>
        <w:t>Amend SB27X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  <w:t>Status:</w:t>
        <w:tab/>
        <w:t>Working way through Senate committees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sz w:val="20"/>
        </w:rPr>
      </w:pPr>
      <w:r>
        <w:rPr>
          <w:sz w:val="20"/>
        </w:rPr>
        <w:t>CDWR executes a demand buy-down auction for Summer 2001</w:t>
      </w:r>
    </w:p>
    <w:p>
      <w:pPr>
        <w:pStyle w:val="Normal"/>
        <w:ind w:start="288" w:end="0"/>
        <w:rPr>
          <w:sz w:val="20"/>
        </w:rPr>
      </w:pPr>
      <w:r>
        <w:rPr>
          <w:sz w:val="20"/>
        </w:rPr>
        <w:t>Vehicle:</w:t>
        <w:tab/>
        <w:t>Execute under authority already granted in AB1X?</w:t>
      </w:r>
    </w:p>
    <w:p>
      <w:pPr>
        <w:pStyle w:val="Normal"/>
        <w:ind w:start="288" w:end="0"/>
        <w:rPr>
          <w:sz w:val="20"/>
        </w:rPr>
      </w:pPr>
      <w:r>
        <w:rPr>
          <w:sz w:val="20"/>
        </w:rPr>
        <w:t>Status:</w:t>
        <w:tab/>
        <w:t>Not on the table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sz w:val="20"/>
        </w:rPr>
      </w:pPr>
      <w:r>
        <w:rPr>
          <w:sz w:val="20"/>
        </w:rPr>
        <w:t>Establish program that pays customers market price for reducing demand</w:t>
      </w:r>
    </w:p>
    <w:p>
      <w:pPr>
        <w:pStyle w:val="Normal"/>
        <w:ind w:start="288" w:end="0"/>
        <w:rPr>
          <w:sz w:val="20"/>
        </w:rPr>
      </w:pPr>
      <w:r>
        <w:rPr>
          <w:sz w:val="20"/>
        </w:rPr>
        <w:t>Vehicle:</w:t>
        <w:tab/>
        <w:t>AB33X (?)</w:t>
      </w:r>
    </w:p>
    <w:p>
      <w:pPr>
        <w:pStyle w:val="Normal"/>
        <w:ind w:start="288" w:end="0"/>
        <w:rPr>
          <w:sz w:val="20"/>
        </w:rPr>
      </w:pPr>
      <w:r>
        <w:rPr>
          <w:sz w:val="20"/>
        </w:rPr>
        <w:t>Status:</w:t>
        <w:tab/>
        <w:t>No action</w:t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Cs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2001-02-27T19:08:00Z</dcterms:created>
  <dc:creator>jdasovic</dc:creator>
  <dc:description/>
  <dc:language>en-CA</dc:language>
  <cp:lastModifiedBy>jdasovic</cp:lastModifiedBy>
  <dcterms:modified xsi:type="dcterms:W3CDTF">2001-02-27T19:38:00Z</dcterms:modified>
  <cp:revision>3</cp:revision>
  <dc:subject/>
  <dc:title>The Bad News:</dc:title>
</cp:coreProperties>
</file>