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Heading1"/>
        <w:ind w:hanging="0" w:start="0"/>
        <w:jc w:val="center"/>
        <w:rPr/>
      </w:pPr>
      <w:r>
        <w:rPr>
          <w:i/>
          <w:iCs/>
        </w:rPr>
        <w:t>California’s Solution Is Re-regulate and/or State</w:t>
      </w:r>
      <w:r>
        <w:rPr/>
        <w:t xml:space="preserve"> </w:t>
      </w:r>
      <w:r>
        <w:rPr>
          <w:i/>
          <w:iCs/>
        </w:rPr>
        <w:t>Control</w:t>
      </w:r>
    </w:p>
    <w:p>
      <w:pPr>
        <w:pStyle w:val="Normal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numPr>
          <w:ilvl w:val="0"/>
          <w:numId w:val="4"/>
        </w:numPr>
        <w:rPr/>
      </w:pPr>
      <w:r>
        <w:rPr/>
        <w:t xml:space="preserve">California approved CDWR as buying agent </w:t>
      </w:r>
      <w:r>
        <w:rPr>
          <w:u w:val="single"/>
        </w:rPr>
        <w:t>and</w:t>
      </w:r>
      <w:r>
        <w:rPr/>
        <w:t xml:space="preserve"> </w:t>
      </w:r>
      <w:r>
        <w:rPr>
          <w:b/>
          <w:bCs/>
        </w:rPr>
        <w:t xml:space="preserve">ended </w:t>
      </w:r>
      <w:r>
        <w:rPr/>
        <w:t>Direct Access</w:t>
      </w:r>
      <w:r>
        <w:rPr>
          <w:b/>
          <w:bCs/>
          <w:i/>
          <w:iCs/>
        </w:rPr>
        <w:t xml:space="preserve">, </w:t>
      </w:r>
      <w:r>
        <w:rPr/>
        <w:t>possibly leading to a regulatory expropriation</w:t>
      </w:r>
    </w:p>
    <w:p>
      <w:pPr>
        <w:pStyle w:val="Normal"/>
        <w:ind w:start="720" w:end="0"/>
        <w:rPr/>
      </w:pPr>
      <w:r>
        <w:rPr>
          <w:u w:val="single"/>
        </w:rPr>
        <w:t>Vehicle/Author(s):</w:t>
      </w:r>
      <w:r>
        <w:rPr/>
        <w:tab/>
        <w:t>ABx1 1  Keely and Migden</w:t>
      </w:r>
    </w:p>
    <w:p>
      <w:pPr>
        <w:pStyle w:val="Normal"/>
        <w:ind w:start="720" w:end="0"/>
        <w:rPr/>
      </w:pPr>
      <w:r>
        <w:rPr>
          <w:u w:val="single"/>
        </w:rPr>
        <w:t>Status:</w:t>
      </w:r>
      <w:r>
        <w:rPr/>
        <w:tab/>
        <w:tab/>
        <w:tab/>
        <w:t>Signed by Governor Davis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State would grant authority to own, finance, construct and operate power plants to the California Power and Conservation Authority</w:t>
      </w:r>
    </w:p>
    <w:p>
      <w:pPr>
        <w:pStyle w:val="Normal"/>
        <w:ind w:start="720" w:end="0"/>
        <w:rPr/>
      </w:pPr>
      <w:r>
        <w:rPr/>
        <w:t>Vehicle/Author:</w:t>
        <w:tab/>
        <w:t>SBx 6  Burton and Bowen</w:t>
      </w:r>
    </w:p>
    <w:p>
      <w:pPr>
        <w:pStyle w:val="Normal"/>
        <w:ind w:start="720" w:end="0"/>
        <w:rPr/>
      </w:pPr>
      <w:r>
        <w:rPr/>
        <w:t>Status:</w:t>
        <w:tab/>
        <w:tab/>
        <w:tab/>
        <w:t>Passed full Senate, gone to Assembly Committee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State would acquire and operate all transmission facilities</w:t>
      </w:r>
    </w:p>
    <w:p>
      <w:pPr>
        <w:pStyle w:val="Normal"/>
        <w:ind w:start="720" w:end="0"/>
        <w:rPr/>
      </w:pPr>
      <w:r>
        <w:rPr/>
        <w:t>Vehicle/Author(s):</w:t>
        <w:tab/>
        <w:t>SBx 33 Burton and Sher</w:t>
      </w:r>
    </w:p>
    <w:p>
      <w:pPr>
        <w:pStyle w:val="Normal"/>
        <w:ind w:start="720" w:end="0"/>
        <w:rPr/>
      </w:pPr>
      <w:r>
        <w:rPr/>
        <w:t>Status:</w:t>
        <w:tab/>
        <w:tab/>
        <w:tab/>
        <w:t>Passed Senate Committee - On Senate Floor 2-28-01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State wants to classify all generation as a public utility and dictate operations</w:t>
      </w:r>
    </w:p>
    <w:p>
      <w:pPr>
        <w:pStyle w:val="Normal"/>
        <w:ind w:start="720" w:end="0"/>
        <w:rPr/>
      </w:pPr>
      <w:r>
        <w:rPr/>
        <w:t>Vehicle/Author(s):</w:t>
        <w:tab/>
        <w:t>SBx 39</w:t>
        <w:tab/>
        <w:t xml:space="preserve"> Speier</w:t>
      </w:r>
    </w:p>
    <w:p>
      <w:pPr>
        <w:pStyle w:val="Normal"/>
        <w:ind w:start="720" w:end="0"/>
        <w:rPr/>
      </w:pPr>
      <w:r>
        <w:rPr/>
        <w:t>Status:</w:t>
        <w:tab/>
        <w:tab/>
        <w:tab/>
        <w:t>Passed Senate Committee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State would  require cost based generation as a condition for permitting</w:t>
      </w:r>
    </w:p>
    <w:p>
      <w:pPr>
        <w:pStyle w:val="Normal"/>
        <w:ind w:start="720" w:end="0"/>
        <w:rPr/>
      </w:pPr>
      <w:r>
        <w:rPr/>
        <w:t>Vehicle/Author:</w:t>
        <w:tab/>
        <w:t>Abx1 60  Hertzberg</w:t>
      </w:r>
    </w:p>
    <w:p>
      <w:pPr>
        <w:pStyle w:val="Normal"/>
        <w:ind w:start="720" w:end="0"/>
        <w:rPr/>
      </w:pPr>
      <w:r>
        <w:rPr/>
        <w:t>Status:</w:t>
        <w:tab/>
        <w:tab/>
        <w:tab/>
        <w:t>Not heard in committee yet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Allows California to enter into energy business by purchasing or installing alternative energy equipment, cogen,  and DG on land owned or leased by state.</w:t>
      </w:r>
    </w:p>
    <w:p>
      <w:pPr>
        <w:pStyle w:val="Normal"/>
        <w:ind w:start="720" w:end="0"/>
        <w:rPr/>
      </w:pPr>
      <w:r>
        <w:rPr/>
        <w:t>Vehicle/Author:</w:t>
        <w:tab/>
        <w:t>SBx1 5  Sher</w:t>
      </w:r>
    </w:p>
    <w:p>
      <w:pPr>
        <w:pStyle w:val="Normal"/>
        <w:ind w:start="720" w:end="0"/>
        <w:rPr/>
      </w:pPr>
      <w:r>
        <w:rPr/>
        <w:t>Status:</w:t>
        <w:tab/>
        <w:tab/>
        <w:tab/>
        <w:t>in Senate Appropriations Committee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State wants to ensure wholesale market stability by encouraging long term contracts</w:t>
      </w:r>
    </w:p>
    <w:p>
      <w:pPr>
        <w:pStyle w:val="Normal"/>
        <w:ind w:start="720" w:end="0"/>
        <w:rPr/>
      </w:pPr>
      <w:r>
        <w:rPr/>
        <w:t>Vehicle/Author:</w:t>
        <w:tab/>
        <w:t>Abx1 7  Wright</w:t>
      </w:r>
    </w:p>
    <w:p>
      <w:pPr>
        <w:pStyle w:val="Normal"/>
        <w:ind w:start="720" w:end="0"/>
        <w:rPr/>
      </w:pPr>
      <w:r>
        <w:rPr/>
        <w:t>Status:</w:t>
        <w:tab/>
        <w:tab/>
        <w:tab/>
        <w:t>Inactive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We Need Real Reform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rFonts w:ascii="Arial Unicode MS" w:hAnsi="Arial Unicode MS" w:eastAsia="Arial Unicode MS" w:cs="Arial Unicode MS"/>
        </w:rPr>
      </w:pPr>
      <w:r>
        <w:rPr/>
        <w:t>Remove AB1X prohibition on Direct Access</w:t>
      </w:r>
    </w:p>
    <w:p>
      <w:pPr>
        <w:pStyle w:val="Normal"/>
        <w:ind w:firstLine="720" w:end="0"/>
        <w:rPr/>
      </w:pPr>
      <w:r>
        <w:rPr/>
        <w:t>Vehicle: Amend SB27X</w:t>
        <w:tab/>
        <w:tab/>
      </w:r>
    </w:p>
    <w:p>
      <w:pPr>
        <w:pStyle w:val="Normal"/>
        <w:ind w:firstLine="720" w:end="0"/>
        <w:rPr/>
      </w:pPr>
      <w:r>
        <w:rPr/>
        <w:t>Status:</w:t>
        <w:tab/>
        <w:t>No action</w:t>
      </w:r>
    </w:p>
    <w:p>
      <w:pPr>
        <w:pStyle w:val="Normal"/>
        <w:ind w:start="288" w:end="0"/>
        <w:rPr/>
      </w:pPr>
      <w:r>
        <w:rPr/>
        <w:t xml:space="preserve">Secure prospective, date certain end to AB1890 rate freeze. (Secures recovery of EES’ PX Credit receivables) </w:t>
      </w:r>
    </w:p>
    <w:p>
      <w:pPr>
        <w:pStyle w:val="Normal"/>
        <w:ind w:firstLine="288" w:end="0"/>
        <w:rPr/>
      </w:pPr>
      <w:r>
        <w:rPr/>
        <w:t>Vehicle:</w:t>
        <w:tab/>
        <w:t>Amend AB18</w:t>
        <w:tab/>
        <w:tab/>
      </w:r>
    </w:p>
    <w:p>
      <w:pPr>
        <w:pStyle w:val="Normal"/>
        <w:ind w:firstLine="288" w:end="0"/>
        <w:rPr/>
      </w:pPr>
      <w:r>
        <w:rPr/>
        <w:t>Status:</w:t>
        <w:tab/>
        <w:t>No action</w:t>
      </w:r>
    </w:p>
    <w:p>
      <w:pPr>
        <w:pStyle w:val="Normal"/>
        <w:ind w:firstLine="288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 xml:space="preserve">Prevent “nationalization” of transmission grid and power business </w:t>
      </w:r>
    </w:p>
    <w:p>
      <w:pPr>
        <w:pStyle w:val="Normal"/>
        <w:ind w:firstLine="288" w:end="0"/>
        <w:rPr/>
      </w:pPr>
      <w:r>
        <w:rPr/>
        <w:t>Vehicle:</w:t>
        <w:tab/>
        <w:t>Block SB33/SB6</w:t>
      </w:r>
    </w:p>
    <w:p>
      <w:pPr>
        <w:pStyle w:val="Normal"/>
        <w:ind w:firstLine="288" w:end="0"/>
        <w:rPr/>
      </w:pPr>
      <w:r>
        <w:rPr/>
        <w:t>Status:</w:t>
        <w:tab/>
        <w:t>Passed Senate</w:t>
      </w:r>
    </w:p>
    <w:p>
      <w:pPr>
        <w:pStyle w:val="Normal"/>
        <w:ind w:firstLine="288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>Make “nationalization” contingent upon FERC “open access” jurisdiction under Order 888</w:t>
      </w:r>
    </w:p>
    <w:p>
      <w:pPr>
        <w:pStyle w:val="Normal"/>
        <w:ind w:start="288" w:end="0"/>
        <w:rPr/>
      </w:pPr>
      <w:r>
        <w:rPr/>
        <w:t>Vehicle:</w:t>
        <w:tab/>
        <w:t>Add legislative language to any final deal with the utilities</w:t>
      </w:r>
    </w:p>
    <w:p>
      <w:pPr>
        <w:pStyle w:val="Normal"/>
        <w:ind w:start="288" w:end="0"/>
        <w:rPr/>
      </w:pPr>
      <w:r>
        <w:rPr/>
        <w:t>Status:</w:t>
        <w:tab/>
        <w:t>Not on the table</w:t>
      </w:r>
    </w:p>
    <w:p>
      <w:pPr>
        <w:pStyle w:val="Normal"/>
        <w:ind w:start="288" w:end="0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rFonts w:ascii="Arial Unicode MS" w:hAnsi="Arial Unicode MS" w:eastAsia="Arial Unicode MS" w:cs="Arial Unicode MS"/>
        </w:rPr>
      </w:pPr>
      <w:r>
        <w:rPr/>
        <w:t xml:space="preserve">Make CDWR creditworthy </w:t>
      </w:r>
    </w:p>
    <w:p>
      <w:pPr>
        <w:pStyle w:val="BodyTextIndent"/>
        <w:rPr>
          <w:sz w:val="20"/>
        </w:rPr>
      </w:pPr>
      <w:r>
        <w:rPr/>
        <w:t>Vehicle:</w:t>
        <w:tab/>
        <w:t>PUC decision and/or legislative language (Enron provided both models to Brulte)</w:t>
      </w:r>
    </w:p>
    <w:p>
      <w:pPr>
        <w:pStyle w:val="Normal"/>
        <w:ind w:hanging="1152" w:start="1440" w:end="0"/>
        <w:rPr/>
      </w:pPr>
      <w:r>
        <w:rPr/>
        <w:t>Status:</w:t>
        <w:tab/>
        <w:t>PUC Commissioner issued proposal that contains parts of Enron’s proposed solution</w:t>
      </w:r>
    </w:p>
    <w:p>
      <w:pPr>
        <w:pStyle w:val="Normal"/>
        <w:ind w:firstLine="288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 xml:space="preserve">Reform generation siting process (including removal of DG hurdles) </w:t>
      </w:r>
    </w:p>
    <w:p>
      <w:pPr>
        <w:pStyle w:val="Normal"/>
        <w:ind w:firstLine="288" w:end="0"/>
        <w:rPr/>
      </w:pPr>
      <w:r>
        <w:rPr/>
        <w:t>Vehicle:</w:t>
        <w:tab/>
        <w:t>Amend SB27X</w:t>
      </w:r>
    </w:p>
    <w:p>
      <w:pPr>
        <w:pStyle w:val="Normal"/>
        <w:ind w:firstLine="288" w:end="0"/>
        <w:rPr/>
      </w:pPr>
      <w:r>
        <w:rPr/>
        <w:t>Status:</w:t>
        <w:tab/>
        <w:t>Working way through Senate committees</w:t>
      </w:r>
    </w:p>
    <w:p>
      <w:pPr>
        <w:pStyle w:val="Normal"/>
        <w:ind w:firstLine="288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>CDWR executes a demand buy-down auction for Summer 2001</w:t>
      </w:r>
    </w:p>
    <w:p>
      <w:pPr>
        <w:pStyle w:val="Normal"/>
        <w:ind w:start="288" w:end="0"/>
        <w:rPr/>
      </w:pPr>
      <w:r>
        <w:rPr/>
        <w:t>Vehicle:</w:t>
        <w:tab/>
        <w:t>Execute under authority already granted in AB1X?</w:t>
      </w:r>
    </w:p>
    <w:p>
      <w:pPr>
        <w:pStyle w:val="Normal"/>
        <w:ind w:start="288" w:end="0"/>
        <w:rPr/>
      </w:pPr>
      <w:r>
        <w:rPr/>
        <w:t>Status:</w:t>
        <w:tab/>
        <w:t>Not on the table</w:t>
      </w:r>
    </w:p>
    <w:p>
      <w:pPr>
        <w:pStyle w:val="Normal"/>
        <w:ind w:start="288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rPr/>
      </w:pPr>
      <w:r>
        <w:rPr/>
        <w:t>Establish program that pays customers market price for reducing demand</w:t>
      </w:r>
    </w:p>
    <w:p>
      <w:pPr>
        <w:pStyle w:val="Normal"/>
        <w:ind w:start="288" w:end="0"/>
        <w:rPr/>
      </w:pPr>
      <w:r>
        <w:rPr/>
        <w:t>Vehicle:</w:t>
        <w:tab/>
        <w:t>AB33X (?)</w:t>
      </w:r>
    </w:p>
    <w:p>
      <w:pPr>
        <w:pStyle w:val="Normal"/>
        <w:ind w:start="288" w:end="0"/>
        <w:rPr/>
      </w:pPr>
      <w:r>
        <w:rPr/>
        <w:t>Status:</w:t>
        <w:tab/>
        <w:t>No action</w:t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p>
      <w:pPr>
        <w:pStyle w:val="Normal"/>
        <w:rPr>
          <w:vanish/>
          <w:sz w:val="20"/>
        </w:rPr>
      </w:pPr>
      <w:r>
        <w:rPr>
          <w:vanish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360"/>
        </w:tabs>
        <w:ind w:start="288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152" w:start="14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2001-02-27T23:22:00Z</dcterms:created>
  <dc:creator>jdasovic</dc:creator>
  <dc:description/>
  <dc:language>en-CA</dc:language>
  <cp:lastModifiedBy>jneslag</cp:lastModifiedBy>
  <cp:lastPrinted>2001-02-27T18:20:00Z</cp:lastPrinted>
  <dcterms:modified xsi:type="dcterms:W3CDTF">2001-02-27T23:22:00Z</dcterms:modified>
  <cp:revision>2</cp:revision>
  <dc:subject/>
  <dc:title>The Bad News:</dc:title>
</cp:coreProperties>
</file>