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rPr>
      </w:pPr>
      <w:r>
        <w:rPr>
          <w:smallCaps/>
        </w:rPr>
        <w:t>Solutions for California</w:t>
      </w:r>
    </w:p>
    <w:p>
      <w:pPr>
        <w:pStyle w:val="BodyText"/>
        <w:spacing w:lineRule="auto" w:line="240"/>
        <w:ind w:firstLine="720" w:end="0"/>
        <w:rPr/>
      </w:pPr>
      <w:r>
        <w:rPr/>
        <w:t>There are workable solutions that will reduce prices and put California on track to deliver the original promise of a competitive power sector.  These solutions require a common understanding of the problem and will require some attention to gas markets as well.</w:t>
      </w:r>
    </w:p>
    <w:p>
      <w:pPr>
        <w:pStyle w:val="BodyText"/>
        <w:spacing w:lineRule="auto" w:line="240"/>
        <w:rPr/>
      </w:pPr>
      <w:r>
        <w:rPr/>
      </w:r>
    </w:p>
    <w:p>
      <w:pPr>
        <w:pStyle w:val="Normal"/>
        <w:rPr>
          <w:b/>
          <w:bCs/>
          <w:smallCaps/>
          <w:sz w:val="20"/>
        </w:rPr>
      </w:pPr>
      <w:r>
        <w:rPr>
          <w:b/>
          <w:bCs/>
          <w:smallCaps/>
          <w:sz w:val="20"/>
        </w:rPr>
        <w:t>The problems.</w:t>
      </w:r>
    </w:p>
    <w:p>
      <w:pPr>
        <w:pStyle w:val="BodyText"/>
        <w:spacing w:lineRule="auto" w:line="240"/>
        <w:rPr/>
      </w:pPr>
      <w:r>
        <w:rPr/>
        <w:tab/>
        <w:t>The problems in gas and power markets share the following three characteristics:</w:t>
      </w:r>
    </w:p>
    <w:p>
      <w:pPr>
        <w:pStyle w:val="Normal"/>
        <w:numPr>
          <w:ilvl w:val="0"/>
          <w:numId w:val="15"/>
        </w:numPr>
        <w:rPr>
          <w:sz w:val="20"/>
        </w:rPr>
      </w:pPr>
      <w:r>
        <w:rPr>
          <w:sz w:val="20"/>
        </w:rPr>
        <w:t>Insufficient demand side response when prices rise.</w:t>
      </w:r>
    </w:p>
    <w:p>
      <w:pPr>
        <w:pStyle w:val="Normal"/>
        <w:numPr>
          <w:ilvl w:val="0"/>
          <w:numId w:val="15"/>
        </w:numPr>
        <w:rPr>
          <w:sz w:val="20"/>
        </w:rPr>
      </w:pPr>
      <w:r>
        <w:rPr>
          <w:sz w:val="20"/>
        </w:rPr>
        <w:t>Insufficient supplies.</w:t>
      </w:r>
    </w:p>
    <w:p>
      <w:pPr>
        <w:pStyle w:val="Normal"/>
        <w:numPr>
          <w:ilvl w:val="0"/>
          <w:numId w:val="15"/>
        </w:numPr>
        <w:rPr>
          <w:sz w:val="20"/>
        </w:rPr>
      </w:pPr>
      <w:r>
        <w:rPr>
          <w:sz w:val="20"/>
        </w:rPr>
        <w:t>Excess reliance on spot markets.</w:t>
      </w:r>
    </w:p>
    <w:p>
      <w:pPr>
        <w:pStyle w:val="Normal"/>
        <w:numPr>
          <w:ilvl w:val="0"/>
          <w:numId w:val="15"/>
        </w:numPr>
        <w:rPr>
          <w:sz w:val="20"/>
        </w:rPr>
      </w:pPr>
      <w:r>
        <w:rPr>
          <w:sz w:val="20"/>
        </w:rPr>
        <w:t>Financially unstable institutions (the utilities and the ISO) that create systemic risks and a reduced ability to intervene quickly.</w:t>
      </w:r>
    </w:p>
    <w:p>
      <w:pPr>
        <w:pStyle w:val="Normal"/>
        <w:rPr>
          <w:b/>
          <w:bCs/>
          <w:sz w:val="20"/>
        </w:rPr>
      </w:pPr>
      <w:r>
        <w:rPr>
          <w:b/>
          <w:bCs/>
          <w:sz w:val="20"/>
        </w:rPr>
      </w:r>
    </w:p>
    <w:p>
      <w:pPr>
        <w:pStyle w:val="Normal"/>
        <w:rPr>
          <w:b/>
          <w:bCs/>
          <w:smallCaps/>
          <w:sz w:val="20"/>
        </w:rPr>
      </w:pPr>
      <w:r>
        <w:rPr>
          <w:b/>
          <w:bCs/>
          <w:smallCaps/>
          <w:sz w:val="20"/>
        </w:rPr>
        <w:t>The solutions</w:t>
      </w:r>
    </w:p>
    <w:p>
      <w:pPr>
        <w:pStyle w:val="BodyText"/>
        <w:spacing w:lineRule="auto" w:line="240"/>
        <w:rPr/>
      </w:pPr>
      <w:r>
        <w:rPr/>
        <w:tab/>
        <w:t>The solutions to California’s current problems must directly address each of these problems in both the short and the long term.</w:t>
      </w:r>
    </w:p>
    <w:p>
      <w:pPr>
        <w:pStyle w:val="Normal"/>
        <w:rPr>
          <w:sz w:val="20"/>
        </w:rPr>
      </w:pPr>
      <w:r>
        <w:rPr>
          <w:sz w:val="20"/>
        </w:rPr>
      </w:r>
    </w:p>
    <w:p>
      <w:pPr>
        <w:pStyle w:val="Heading2"/>
        <w:ind w:hanging="0" w:start="0"/>
        <w:rPr>
          <w:bCs/>
        </w:rPr>
      </w:pPr>
      <w:r>
        <w:rPr>
          <w:bCs/>
        </w:rPr>
        <w:t>Decrease Demand</w:t>
      </w:r>
    </w:p>
    <w:p>
      <w:pPr>
        <w:pStyle w:val="Normal"/>
        <w:numPr>
          <w:ilvl w:val="0"/>
          <w:numId w:val="7"/>
        </w:numPr>
        <w:tabs>
          <w:tab w:val="clear" w:pos="720"/>
        </w:tabs>
        <w:ind w:hanging="360" w:start="360" w:end="0"/>
        <w:rPr>
          <w:sz w:val="20"/>
        </w:rPr>
      </w:pPr>
      <w:r>
        <w:rPr>
          <w:sz w:val="20"/>
        </w:rPr>
        <w:t xml:space="preserve">We have already passed the point where supply solutions can have a significant impact on the summer of 2001.  The fastest way to balance supply and demand now is an active program of buying down demand.  </w:t>
      </w:r>
    </w:p>
    <w:p>
      <w:pPr>
        <w:pStyle w:val="Normal"/>
        <w:numPr>
          <w:ilvl w:val="0"/>
          <w:numId w:val="10"/>
        </w:numPr>
        <w:tabs>
          <w:tab w:val="clear" w:pos="720"/>
        </w:tabs>
        <w:ind w:hanging="360" w:start="360" w:end="0"/>
        <w:rPr>
          <w:color w:val="000000"/>
          <w:sz w:val="20"/>
          <w:szCs w:val="14"/>
        </w:rPr>
      </w:pPr>
      <w:r>
        <w:rPr>
          <w:color w:val="000000"/>
          <w:sz w:val="20"/>
          <w:szCs w:val="14"/>
        </w:rPr>
        <w:t>Consumers need much better information about the cost of producing electricity, and incentives to use that information in consumption decisions</w:t>
      </w:r>
    </w:p>
    <w:p>
      <w:pPr>
        <w:pStyle w:val="Normal"/>
        <w:numPr>
          <w:ilvl w:val="0"/>
          <w:numId w:val="10"/>
        </w:numPr>
        <w:tabs>
          <w:tab w:val="clear" w:pos="720"/>
        </w:tabs>
        <w:ind w:hanging="360" w:start="360" w:end="0"/>
        <w:rPr>
          <w:color w:val="000000"/>
          <w:sz w:val="20"/>
          <w:szCs w:val="14"/>
        </w:rPr>
      </w:pPr>
      <w:r>
        <w:rPr>
          <w:color w:val="000000"/>
          <w:sz w:val="20"/>
          <w:szCs w:val="14"/>
        </w:rPr>
        <w:t>Armed with information and incentives, California consumers can use energy conservation to build “virtual” power plants by conserving electricity</w:t>
      </w:r>
    </w:p>
    <w:p>
      <w:pPr>
        <w:pStyle w:val="Normal"/>
        <w:numPr>
          <w:ilvl w:val="0"/>
          <w:numId w:val="10"/>
        </w:numPr>
        <w:tabs>
          <w:tab w:val="clear" w:pos="720"/>
        </w:tabs>
        <w:ind w:hanging="360" w:start="360" w:end="0"/>
        <w:rPr>
          <w:color w:val="000000"/>
          <w:sz w:val="20"/>
          <w:szCs w:val="14"/>
        </w:rPr>
      </w:pPr>
      <w:r>
        <w:rPr>
          <w:color w:val="000000"/>
          <w:sz w:val="20"/>
          <w:szCs w:val="14"/>
        </w:rPr>
        <w:t>Through conservation, consumers free-up—in effect, “produce”—electricity for use by others</w:t>
      </w:r>
    </w:p>
    <w:p>
      <w:pPr>
        <w:pStyle w:val="Normal"/>
        <w:numPr>
          <w:ilvl w:val="0"/>
          <w:numId w:val="10"/>
        </w:numPr>
        <w:tabs>
          <w:tab w:val="clear" w:pos="720"/>
        </w:tabs>
        <w:ind w:hanging="360" w:start="360" w:end="0"/>
        <w:rPr>
          <w:color w:val="000000"/>
          <w:sz w:val="20"/>
          <w:szCs w:val="14"/>
        </w:rPr>
      </w:pPr>
      <w:r>
        <w:rPr>
          <w:color w:val="000000"/>
          <w:sz w:val="20"/>
          <w:szCs w:val="14"/>
        </w:rPr>
        <w:t>In essence, every kilowatt-hour of electricity saved is an additional kilowatt-hour of electricity available to California’s families and businesses</w:t>
      </w:r>
    </w:p>
    <w:p>
      <w:pPr>
        <w:pStyle w:val="Normal"/>
        <w:numPr>
          <w:ilvl w:val="0"/>
          <w:numId w:val="10"/>
        </w:numPr>
        <w:tabs>
          <w:tab w:val="clear" w:pos="720"/>
        </w:tabs>
        <w:ind w:hanging="360" w:start="360" w:end="0"/>
        <w:rPr>
          <w:color w:val="000000"/>
          <w:sz w:val="20"/>
          <w:szCs w:val="14"/>
        </w:rPr>
      </w:pPr>
      <w:r>
        <w:rPr>
          <w:color w:val="000000"/>
          <w:sz w:val="20"/>
          <w:szCs w:val="14"/>
        </w:rPr>
        <w:t>In the same way that consumers pay for electricity provided by power plants, California should compensate consumers who provide electricity through conservation and other demand-reducing activities</w:t>
      </w:r>
    </w:p>
    <w:p>
      <w:pPr>
        <w:pStyle w:val="Normal"/>
        <w:numPr>
          <w:ilvl w:val="0"/>
          <w:numId w:val="10"/>
        </w:numPr>
        <w:tabs>
          <w:tab w:val="clear" w:pos="720"/>
        </w:tabs>
        <w:ind w:hanging="360" w:start="360" w:end="0"/>
        <w:rPr>
          <w:color w:val="000000"/>
          <w:sz w:val="20"/>
          <w:szCs w:val="14"/>
        </w:rPr>
      </w:pPr>
      <w:r>
        <w:rPr>
          <w:color w:val="000000"/>
          <w:sz w:val="20"/>
          <w:szCs w:val="14"/>
        </w:rPr>
        <w:t>California should begin an aggressive program of financial incentives designed to encourage all consumers—small and large alike—to conserve electricity</w:t>
      </w:r>
    </w:p>
    <w:p>
      <w:pPr>
        <w:pStyle w:val="Normal"/>
        <w:numPr>
          <w:ilvl w:val="0"/>
          <w:numId w:val="10"/>
        </w:numPr>
        <w:tabs>
          <w:tab w:val="clear" w:pos="720"/>
        </w:tabs>
        <w:ind w:hanging="360" w:start="360" w:end="0"/>
        <w:rPr>
          <w:color w:val="000000"/>
          <w:sz w:val="20"/>
          <w:szCs w:val="14"/>
        </w:rPr>
      </w:pPr>
      <w:r>
        <w:rPr>
          <w:color w:val="000000"/>
          <w:sz w:val="20"/>
          <w:szCs w:val="14"/>
        </w:rPr>
        <w:t>California should target the incentives to conserve electricity when demand is highest</w:t>
      </w:r>
    </w:p>
    <w:p>
      <w:pPr>
        <w:pStyle w:val="Normal"/>
        <w:numPr>
          <w:ilvl w:val="0"/>
          <w:numId w:val="10"/>
        </w:numPr>
        <w:tabs>
          <w:tab w:val="clear" w:pos="720"/>
        </w:tabs>
        <w:ind w:hanging="360" w:start="360" w:end="0"/>
        <w:rPr>
          <w:color w:val="000000"/>
          <w:sz w:val="20"/>
          <w:szCs w:val="14"/>
        </w:rPr>
      </w:pPr>
      <w:r>
        <w:rPr>
          <w:color w:val="000000"/>
          <w:sz w:val="20"/>
          <w:szCs w:val="14"/>
        </w:rPr>
        <w:t>The payoffs to consumers of an incentive-based conservation program are significant:</w:t>
      </w:r>
    </w:p>
    <w:p>
      <w:pPr>
        <w:pStyle w:val="Normal"/>
        <w:numPr>
          <w:ilvl w:val="1"/>
          <w:numId w:val="16"/>
        </w:numPr>
        <w:rPr>
          <w:color w:val="000000"/>
          <w:sz w:val="20"/>
          <w:szCs w:val="14"/>
        </w:rPr>
      </w:pPr>
      <w:r>
        <w:rPr>
          <w:color w:val="000000"/>
          <w:sz w:val="20"/>
          <w:szCs w:val="14"/>
        </w:rPr>
        <w:t>Reduced threat of service interruptions—and the high costs that accompany them—during periods of high demand</w:t>
      </w:r>
    </w:p>
    <w:p>
      <w:pPr>
        <w:pStyle w:val="Normal"/>
        <w:numPr>
          <w:ilvl w:val="1"/>
          <w:numId w:val="16"/>
        </w:numPr>
        <w:rPr>
          <w:color w:val="000000"/>
          <w:sz w:val="20"/>
          <w:szCs w:val="14"/>
        </w:rPr>
      </w:pPr>
      <w:r>
        <w:rPr>
          <w:color w:val="000000"/>
          <w:sz w:val="20"/>
          <w:szCs w:val="14"/>
        </w:rPr>
        <w:t>Downward pressure on wholesale prices as conservation reduces demand</w:t>
      </w:r>
    </w:p>
    <w:p>
      <w:pPr>
        <w:pStyle w:val="Normal"/>
        <w:numPr>
          <w:ilvl w:val="1"/>
          <w:numId w:val="16"/>
        </w:numPr>
        <w:rPr>
          <w:color w:val="000000"/>
          <w:sz w:val="20"/>
          <w:szCs w:val="14"/>
        </w:rPr>
      </w:pPr>
      <w:r>
        <w:rPr>
          <w:color w:val="000000"/>
          <w:sz w:val="20"/>
          <w:szCs w:val="14"/>
        </w:rPr>
        <w:t>Since the cost of “producing” electricity through conservation can be lower than the cost of generation, California’s overall bill for electricity could be reduced</w:t>
      </w:r>
    </w:p>
    <w:p>
      <w:pPr>
        <w:pStyle w:val="Normal"/>
        <w:numPr>
          <w:ilvl w:val="1"/>
          <w:numId w:val="16"/>
        </w:numPr>
        <w:rPr>
          <w:color w:val="000000"/>
          <w:sz w:val="20"/>
          <w:szCs w:val="14"/>
        </w:rPr>
      </w:pPr>
      <w:r>
        <w:rPr>
          <w:color w:val="000000"/>
          <w:sz w:val="20"/>
          <w:szCs w:val="14"/>
        </w:rPr>
        <w:t>By reducing the amount of electricity that utilities must purchase for customers, conservation can improve the utilities’ financial position and their ability to operate and maintain California’s electric distribution network</w:t>
      </w:r>
    </w:p>
    <w:p>
      <w:pPr>
        <w:pStyle w:val="Normal"/>
        <w:numPr>
          <w:ilvl w:val="0"/>
          <w:numId w:val="2"/>
        </w:numPr>
        <w:tabs>
          <w:tab w:val="clear" w:pos="720"/>
        </w:tabs>
        <w:ind w:hanging="360" w:start="360" w:end="0"/>
        <w:rPr>
          <w:sz w:val="20"/>
        </w:rPr>
      </w:pPr>
      <w:r>
        <w:rPr>
          <w:sz w:val="20"/>
        </w:rPr>
        <w:t>Our people believe that the state can have a significant impact on forward prices by buying down 2000 MW of demand for an extended period – e.g. through October of 2001.  We are prepared to invest significant amounts in this effort.  Price caps serve to hinder this effort, but if direct payments are made to those who provide demand reduction commitments, then price caps at the retail level can remain in effect while demand is reduced.  The advantage of this approach is that it is voluntary.  It does not put the government in the position of deciding whose supply to cut; instead, businesses can make decisions on their own.  We have been through this process in the Northwest and it works.  California may wish to condition demand reduction on a continuing commitment to pay employees of firms that elect to reduce their demand.</w:t>
      </w:r>
    </w:p>
    <w:p>
      <w:pPr>
        <w:pStyle w:val="Normal"/>
        <w:rPr>
          <w:sz w:val="20"/>
        </w:rPr>
      </w:pPr>
      <w:r>
        <w:rPr>
          <w:sz w:val="20"/>
        </w:rPr>
      </w:r>
    </w:p>
    <w:p>
      <w:pPr>
        <w:pStyle w:val="Heading2"/>
        <w:ind w:hanging="0" w:start="0"/>
        <w:rPr>
          <w:i w:val="false"/>
          <w:i w:val="false"/>
          <w:iCs w:val="false"/>
        </w:rPr>
      </w:pPr>
      <w:r>
        <w:rPr>
          <w:i w:val="false"/>
          <w:iCs w:val="false"/>
        </w:rPr>
        <w:t>Demand Buy-down Proposal</w:t>
      </w:r>
    </w:p>
    <w:p>
      <w:pPr>
        <w:pStyle w:val="Normal"/>
        <w:numPr>
          <w:ilvl w:val="0"/>
          <w:numId w:val="6"/>
        </w:numPr>
        <w:tabs>
          <w:tab w:val="clear" w:pos="720"/>
        </w:tabs>
        <w:rPr>
          <w:bCs/>
          <w:sz w:val="20"/>
        </w:rPr>
      </w:pPr>
      <w:r>
        <w:rPr>
          <w:bCs/>
          <w:sz w:val="20"/>
        </w:rPr>
        <w:t>The California PUC should require the utilities to immediately conduct on-line auctions for demand reductions totaling at least 2,000 MWs</w:t>
      </w:r>
    </w:p>
    <w:p>
      <w:pPr>
        <w:pStyle w:val="Normal"/>
        <w:numPr>
          <w:ilvl w:val="0"/>
          <w:numId w:val="6"/>
        </w:numPr>
        <w:tabs>
          <w:tab w:val="clear" w:pos="720"/>
        </w:tabs>
        <w:rPr>
          <w:bCs/>
          <w:sz w:val="20"/>
        </w:rPr>
      </w:pPr>
      <w:r>
        <w:rPr>
          <w:bCs/>
          <w:sz w:val="20"/>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6"/>
        </w:numPr>
        <w:tabs>
          <w:tab w:val="clear" w:pos="720"/>
        </w:tabs>
        <w:rPr>
          <w:bCs/>
          <w:sz w:val="20"/>
        </w:rPr>
      </w:pPr>
      <w:r>
        <w:rPr>
          <w:bCs/>
          <w:sz w:val="20"/>
        </w:rPr>
        <w:t xml:space="preserve">If the “supply” of available reductions offered in the auction exceeds 2,000 MWs, the utility should accept them, or explain to the Commission why they chose not to accept them </w:t>
      </w:r>
    </w:p>
    <w:p>
      <w:pPr>
        <w:pStyle w:val="Normal"/>
        <w:numPr>
          <w:ilvl w:val="0"/>
          <w:numId w:val="6"/>
        </w:numPr>
        <w:tabs>
          <w:tab w:val="clear" w:pos="720"/>
        </w:tabs>
        <w:rPr>
          <w:bCs/>
          <w:sz w:val="20"/>
        </w:rPr>
      </w:pPr>
      <w:r>
        <w:rPr>
          <w:bCs/>
          <w:sz w:val="20"/>
        </w:rPr>
        <w:t>Businesses should be permitted to include in their bids the continued payment of wages to compensate employees for hours of employment foregone due to demand reductions</w:t>
      </w:r>
    </w:p>
    <w:p>
      <w:pPr>
        <w:pStyle w:val="Normal"/>
        <w:numPr>
          <w:ilvl w:val="0"/>
          <w:numId w:val="6"/>
        </w:numPr>
        <w:tabs>
          <w:tab w:val="clear" w:pos="720"/>
        </w:tabs>
        <w:rPr>
          <w:bCs/>
          <w:sz w:val="20"/>
        </w:rPr>
      </w:pPr>
      <w:r>
        <w:rPr>
          <w:bCs/>
          <w:sz w:val="20"/>
        </w:rPr>
        <w:t>The costs of the incentive program should be paid for by all consumers, since all consumers will benefit from the decreased risk of service interruptions caused by the demand reductions</w:t>
      </w:r>
    </w:p>
    <w:p>
      <w:pPr>
        <w:pStyle w:val="Normal"/>
        <w:rPr>
          <w:bCs/>
          <w:sz w:val="20"/>
        </w:rPr>
      </w:pPr>
      <w:r>
        <w:rPr>
          <w:bCs/>
          <w:sz w:val="20"/>
        </w:rPr>
      </w:r>
    </w:p>
    <w:p>
      <w:pPr>
        <w:pStyle w:val="Heading2"/>
        <w:ind w:hanging="0" w:start="0"/>
        <w:rPr>
          <w:b w:val="false"/>
          <w:bCs/>
          <w:i w:val="false"/>
          <w:i w:val="false"/>
          <w:iCs w:val="false"/>
        </w:rPr>
      </w:pPr>
      <w:r>
        <w:rPr>
          <w:i w:val="false"/>
          <w:iCs w:val="false"/>
        </w:rPr>
        <w:t>Hazards to Avoid</w:t>
      </w:r>
    </w:p>
    <w:p>
      <w:pPr>
        <w:pStyle w:val="Normal"/>
        <w:numPr>
          <w:ilvl w:val="0"/>
          <w:numId w:val="8"/>
        </w:numPr>
        <w:tabs>
          <w:tab w:val="clear" w:pos="720"/>
        </w:tabs>
        <w:rPr>
          <w:sz w:val="20"/>
        </w:rPr>
      </w:pPr>
      <w:r>
        <w:rPr>
          <w:sz w:val="20"/>
        </w:rPr>
        <w:t>Avoid allowing lengthy utility and/or PUC review to delay implementation of the reductions</w:t>
      </w:r>
    </w:p>
    <w:p>
      <w:pPr>
        <w:pStyle w:val="Normal"/>
        <w:numPr>
          <w:ilvl w:val="0"/>
          <w:numId w:val="3"/>
        </w:numPr>
        <w:rPr>
          <w:sz w:val="20"/>
        </w:rPr>
      </w:pPr>
      <w:r>
        <w:rPr>
          <w:sz w:val="20"/>
        </w:rPr>
        <w:t>Any unnecessary delay increases the chance that California will fail to achieve the reductions needed to help avoid severe shortages in Summer 2001</w:t>
      </w:r>
    </w:p>
    <w:p>
      <w:pPr>
        <w:pStyle w:val="Normal"/>
        <w:numPr>
          <w:ilvl w:val="0"/>
          <w:numId w:val="3"/>
        </w:numPr>
        <w:rPr>
          <w:sz w:val="20"/>
        </w:rPr>
      </w:pPr>
      <w:r>
        <w:rPr>
          <w:sz w:val="20"/>
        </w:rPr>
        <w:t>There are numerous firms offering moderately-priced on-line auction services that can quickly provide auction services to the utility</w:t>
      </w:r>
    </w:p>
    <w:p>
      <w:pPr>
        <w:pStyle w:val="Normal"/>
        <w:numPr>
          <w:ilvl w:val="0"/>
          <w:numId w:val="3"/>
        </w:numPr>
        <w:rPr>
          <w:sz w:val="20"/>
        </w:rPr>
      </w:pPr>
      <w:r>
        <w:rPr>
          <w:sz w:val="20"/>
        </w:rPr>
        <w:t>The utility should immediately contract for on-line services and present the contract to the California PUC for prompt approval</w:t>
      </w:r>
    </w:p>
    <w:p>
      <w:pPr>
        <w:pStyle w:val="Normal"/>
        <w:numPr>
          <w:ilvl w:val="0"/>
          <w:numId w:val="3"/>
        </w:numPr>
        <w:rPr>
          <w:sz w:val="20"/>
        </w:rPr>
      </w:pPr>
      <w:r>
        <w:rPr>
          <w:sz w:val="20"/>
        </w:rPr>
        <w:t>The utilities should also include in their submittal to the PUC a simple, streamlined set of pre-qualification criteria that would apply to bidders</w:t>
      </w:r>
    </w:p>
    <w:p>
      <w:pPr>
        <w:pStyle w:val="Normal"/>
        <w:numPr>
          <w:ilvl w:val="0"/>
          <w:numId w:val="3"/>
        </w:numPr>
        <w:rPr>
          <w:sz w:val="20"/>
        </w:rPr>
      </w:pPr>
      <w:r>
        <w:rPr>
          <w:sz w:val="20"/>
        </w:rPr>
        <w:t>The pre-qualification criteria should be designed with the goal of making participation as easy and expansive as possible</w:t>
      </w:r>
    </w:p>
    <w:p>
      <w:pPr>
        <w:pStyle w:val="Normal"/>
        <w:numPr>
          <w:ilvl w:val="0"/>
          <w:numId w:val="3"/>
        </w:numPr>
        <w:rPr>
          <w:sz w:val="20"/>
        </w:rPr>
      </w:pPr>
      <w:r>
        <w:rPr>
          <w:sz w:val="20"/>
        </w:rPr>
        <w:t>Pre-qualification will encourage legitimate offers and reduce transaction time</w:t>
      </w:r>
    </w:p>
    <w:p>
      <w:pPr>
        <w:pStyle w:val="Normal"/>
        <w:numPr>
          <w:ilvl w:val="0"/>
          <w:numId w:val="3"/>
        </w:numPr>
        <w:rPr>
          <w:sz w:val="20"/>
        </w:rPr>
      </w:pPr>
      <w:r>
        <w:rPr>
          <w:sz w:val="20"/>
        </w:rPr>
        <w:t>Once the PUC has approved the auction process, the PUC should not apply any additional review to the auction results</w:t>
      </w:r>
    </w:p>
    <w:p>
      <w:pPr>
        <w:pStyle w:val="Normal"/>
        <w:numPr>
          <w:ilvl w:val="0"/>
          <w:numId w:val="3"/>
        </w:numPr>
        <w:rPr>
          <w:sz w:val="20"/>
        </w:rPr>
      </w:pPr>
      <w:r>
        <w:rPr>
          <w:sz w:val="20"/>
        </w:rPr>
        <w:t>Auction “pre-approval” will ensure that the utilities are actively and constructively engaged</w:t>
      </w:r>
    </w:p>
    <w:p>
      <w:pPr>
        <w:pStyle w:val="Normal"/>
        <w:rPr>
          <w:sz w:val="20"/>
        </w:rPr>
      </w:pPr>
      <w:r>
        <w:rPr>
          <w:sz w:val="20"/>
        </w:rPr>
      </w:r>
    </w:p>
    <w:p>
      <w:pPr>
        <w:pStyle w:val="Heading2"/>
        <w:ind w:hanging="0" w:start="0"/>
        <w:rPr>
          <w:bCs/>
          <w:i w:val="false"/>
          <w:i w:val="false"/>
          <w:iCs w:val="false"/>
        </w:rPr>
      </w:pPr>
      <w:r>
        <w:rPr>
          <w:bCs/>
          <w:i w:val="false"/>
          <w:iCs w:val="false"/>
        </w:rPr>
        <w:t>Actions</w:t>
      </w:r>
    </w:p>
    <w:p>
      <w:pPr>
        <w:pStyle w:val="Normal"/>
        <w:numPr>
          <w:ilvl w:val="0"/>
          <w:numId w:val="12"/>
        </w:numPr>
        <w:tabs>
          <w:tab w:val="clear" w:pos="720"/>
        </w:tabs>
        <w:ind w:hanging="360" w:start="360" w:end="0"/>
        <w:rPr>
          <w:sz w:val="20"/>
        </w:rPr>
      </w:pPr>
      <w:r>
        <w:rPr>
          <w:sz w:val="20"/>
        </w:rPr>
        <w:t>Governor’s office directs PUC to initiate auction</w:t>
      </w:r>
    </w:p>
    <w:p>
      <w:pPr>
        <w:pStyle w:val="Normal"/>
        <w:numPr>
          <w:ilvl w:val="0"/>
          <w:numId w:val="12"/>
        </w:numPr>
        <w:tabs>
          <w:tab w:val="clear" w:pos="720"/>
        </w:tabs>
        <w:ind w:hanging="360" w:start="360" w:end="0"/>
        <w:rPr>
          <w:sz w:val="20"/>
        </w:rPr>
      </w:pPr>
      <w:r>
        <w:rPr>
          <w:sz w:val="20"/>
        </w:rPr>
        <w:t>CPUC directs utility to submit auction proposal within 45 days</w:t>
      </w:r>
    </w:p>
    <w:p>
      <w:pPr>
        <w:pStyle w:val="Normal"/>
        <w:numPr>
          <w:ilvl w:val="0"/>
          <w:numId w:val="9"/>
        </w:numPr>
        <w:rPr>
          <w:sz w:val="20"/>
        </w:rPr>
      </w:pPr>
      <w:r>
        <w:rPr>
          <w:sz w:val="20"/>
        </w:rPr>
        <w:t>Establish abbreviated schedule</w:t>
      </w:r>
    </w:p>
    <w:p>
      <w:pPr>
        <w:pStyle w:val="Normal"/>
        <w:numPr>
          <w:ilvl w:val="0"/>
          <w:numId w:val="9"/>
        </w:numPr>
        <w:rPr>
          <w:sz w:val="20"/>
        </w:rPr>
      </w:pPr>
      <w:r>
        <w:rPr>
          <w:sz w:val="20"/>
        </w:rPr>
        <w:t>Provide parties with abbreviated opportunity to comment</w:t>
      </w:r>
    </w:p>
    <w:p>
      <w:pPr>
        <w:pStyle w:val="Normal"/>
        <w:numPr>
          <w:ilvl w:val="0"/>
          <w:numId w:val="9"/>
        </w:numPr>
        <w:rPr>
          <w:sz w:val="20"/>
        </w:rPr>
      </w:pPr>
      <w:r>
        <w:rPr>
          <w:sz w:val="20"/>
        </w:rPr>
        <w:t>Finalize decision approving auction proposal within 30 days of utility submission</w:t>
      </w:r>
    </w:p>
    <w:p>
      <w:pPr>
        <w:pStyle w:val="Normal"/>
        <w:numPr>
          <w:ilvl w:val="0"/>
          <w:numId w:val="12"/>
        </w:numPr>
        <w:tabs>
          <w:tab w:val="clear" w:pos="720"/>
        </w:tabs>
        <w:ind w:hanging="360" w:start="360" w:end="0"/>
        <w:rPr>
          <w:sz w:val="20"/>
        </w:rPr>
      </w:pPr>
      <w:r>
        <w:rPr>
          <w:sz w:val="20"/>
        </w:rPr>
        <w:t>CPUC rules in advance that results of auction are prudent</w:t>
      </w:r>
    </w:p>
    <w:p>
      <w:pPr>
        <w:pStyle w:val="Normal"/>
        <w:numPr>
          <w:ilvl w:val="0"/>
          <w:numId w:val="12"/>
        </w:numPr>
        <w:tabs>
          <w:tab w:val="clear" w:pos="720"/>
        </w:tabs>
        <w:ind w:hanging="360" w:start="360" w:end="0"/>
        <w:rPr>
          <w:sz w:val="20"/>
        </w:rPr>
      </w:pPr>
      <w:r>
        <w:rPr>
          <w:sz w:val="20"/>
        </w:rPr>
        <w:t>Conduct auction by March 1</w:t>
      </w:r>
    </w:p>
    <w:p>
      <w:pPr>
        <w:pStyle w:val="Normal"/>
        <w:rPr>
          <w:sz w:val="20"/>
        </w:rPr>
      </w:pPr>
      <w:r>
        <w:rPr>
          <w:sz w:val="20"/>
        </w:rPr>
      </w:r>
    </w:p>
    <w:p>
      <w:pPr>
        <w:pStyle w:val="Normal"/>
        <w:rPr/>
      </w:pPr>
      <w:r>
        <w:rPr>
          <w:b/>
          <w:bCs/>
          <w:i/>
          <w:iCs/>
          <w:sz w:val="20"/>
        </w:rPr>
        <w:t>Increase supply</w:t>
      </w:r>
      <w:r>
        <w:rPr>
          <w:sz w:val="20"/>
        </w:rPr>
        <w:t xml:space="preserve">  </w:t>
      </w:r>
    </w:p>
    <w:p>
      <w:pPr>
        <w:pStyle w:val="Normal"/>
        <w:numPr>
          <w:ilvl w:val="0"/>
          <w:numId w:val="4"/>
        </w:numPr>
        <w:tabs>
          <w:tab w:val="clear" w:pos="720"/>
        </w:tabs>
        <w:ind w:hanging="360" w:start="360" w:end="0"/>
        <w:rPr>
          <w:sz w:val="20"/>
        </w:rPr>
      </w:pPr>
      <w:r>
        <w:rPr>
          <w:sz w:val="20"/>
        </w:rPr>
        <w:t>Perhaps the biggest impediment to increasing power supplies in the short-run is the availability of turbines.  There is currently a significant backlog due to the high demand for turbines world-wide.</w:t>
      </w:r>
    </w:p>
    <w:p>
      <w:pPr>
        <w:pStyle w:val="Normal"/>
        <w:numPr>
          <w:ilvl w:val="0"/>
          <w:numId w:val="4"/>
        </w:numPr>
        <w:tabs>
          <w:tab w:val="clear" w:pos="720"/>
        </w:tabs>
        <w:ind w:hanging="360" w:start="360" w:end="0"/>
        <w:rPr>
          <w:sz w:val="20"/>
        </w:rPr>
      </w:pPr>
      <w:r>
        <w:rPr>
          <w:sz w:val="20"/>
        </w:rPr>
        <w:t xml:space="preserve">Nonetheless, there are several near term and longer term policies which will help bring additional supply to California: </w:t>
      </w:r>
    </w:p>
    <w:p>
      <w:pPr>
        <w:pStyle w:val="Normal"/>
        <w:numPr>
          <w:ilvl w:val="1"/>
          <w:numId w:val="5"/>
        </w:numPr>
        <w:tabs>
          <w:tab w:val="clear" w:pos="720"/>
        </w:tabs>
        <w:ind w:hanging="360" w:start="720" w:end="0"/>
        <w:rPr>
          <w:sz w:val="20"/>
        </w:rPr>
      </w:pPr>
      <w:r>
        <w:rPr>
          <w:sz w:val="20"/>
        </w:rPr>
        <w:t>Near term and temporary relaxation of emissions limits will make additional generation available immediately.</w:t>
      </w:r>
    </w:p>
    <w:p>
      <w:pPr>
        <w:pStyle w:val="Normal"/>
        <w:numPr>
          <w:ilvl w:val="1"/>
          <w:numId w:val="5"/>
        </w:numPr>
        <w:tabs>
          <w:tab w:val="clear" w:pos="720"/>
        </w:tabs>
        <w:ind w:hanging="360" w:start="720" w:end="0"/>
        <w:rPr>
          <w:sz w:val="20"/>
        </w:rPr>
      </w:pPr>
      <w:r>
        <w:rPr>
          <w:sz w:val="20"/>
        </w:rPr>
        <w:t>A statewide goal of siting new generation and transmission lines backed up by credible progress and action will reduce forward prices.  Resolving permitting and siting issues progressively faster and stating a clear and tangible goal – e.g. 10,000 MW by ’02 – will positively affect forward prices</w:t>
      </w:r>
      <w:r>
        <w:rPr>
          <w:i/>
          <w:iCs/>
          <w:sz w:val="20"/>
        </w:rPr>
        <w:t xml:space="preserve">. </w:t>
      </w:r>
      <w:r>
        <w:rPr>
          <w:sz w:val="20"/>
        </w:rPr>
        <w:t xml:space="preserve"> 10,000 MWs more than exceeds the current shortfall and will result in stiff competition among suppliers. </w:t>
      </w:r>
      <w:r>
        <w:rPr>
          <w:i/>
          <w:iCs/>
          <w:sz w:val="20"/>
        </w:rPr>
        <w:t xml:space="preserve"> To the extent there are concerns about generator market power and persistently high prices, there is no more effective means of undermining market power and high prices than siting new generation.</w:t>
      </w:r>
    </w:p>
    <w:p>
      <w:pPr>
        <w:pStyle w:val="Normal"/>
        <w:rPr>
          <w:sz w:val="20"/>
        </w:rPr>
      </w:pPr>
      <w:r>
        <w:rPr>
          <w:sz w:val="20"/>
        </w:rPr>
      </w:r>
    </w:p>
    <w:p>
      <w:pPr>
        <w:pStyle w:val="Heading2"/>
        <w:ind w:hanging="0" w:start="0"/>
        <w:rPr>
          <w:bCs/>
        </w:rPr>
      </w:pPr>
      <w:r>
        <w:rPr>
          <w:bCs/>
        </w:rPr>
        <w:t>Reduce exposure to spot prices</w:t>
      </w:r>
    </w:p>
    <w:p>
      <w:pPr>
        <w:pStyle w:val="Heading2"/>
        <w:ind w:hanging="0" w:start="0"/>
        <w:rPr>
          <w:bCs/>
          <w:i w:val="false"/>
          <w:i w:val="false"/>
          <w:iCs w:val="false"/>
        </w:rPr>
      </w:pPr>
      <w:r>
        <w:rPr>
          <w:bCs/>
          <w:i w:val="false"/>
          <w:iCs w:val="false"/>
        </w:rPr>
        <w:t>Immediate solution—Utilities must buy forward</w:t>
      </w:r>
    </w:p>
    <w:p>
      <w:pPr>
        <w:pStyle w:val="Normal"/>
        <w:numPr>
          <w:ilvl w:val="0"/>
          <w:numId w:val="14"/>
        </w:numPr>
        <w:tabs>
          <w:tab w:val="clear" w:pos="720"/>
        </w:tabs>
        <w:rPr>
          <w:sz w:val="20"/>
        </w:rPr>
      </w:pPr>
      <w:r>
        <w:rPr>
          <w:sz w:val="20"/>
        </w:rPr>
        <w:t>In the short-run, California must modify its regulations and give the utilities the flexibility to buy forward. If regulators continue to second-guess the utilities’ purchasing activities and threaten to prevent the utilities from recovering purchase costs, the utilities—and their customers—will remain exposed to highly volatile spot prices.</w:t>
      </w:r>
    </w:p>
    <w:p>
      <w:pPr>
        <w:pStyle w:val="Normal"/>
        <w:numPr>
          <w:ilvl w:val="0"/>
          <w:numId w:val="14"/>
        </w:numPr>
        <w:tabs>
          <w:tab w:val="clear" w:pos="720"/>
        </w:tabs>
        <w:rPr>
          <w:sz w:val="20"/>
        </w:rPr>
      </w:pPr>
      <w:r>
        <w:rPr>
          <w:sz w:val="20"/>
        </w:rPr>
        <w:t>California should focus on ensuring that the procurement “process” results in efficient purchases and end the practice of scrutinizing the terms and conditions of every deal.</w:t>
      </w:r>
    </w:p>
    <w:p>
      <w:pPr>
        <w:pStyle w:val="Normal"/>
        <w:numPr>
          <w:ilvl w:val="0"/>
          <w:numId w:val="14"/>
        </w:numPr>
        <w:tabs>
          <w:tab w:val="clear" w:pos="720"/>
        </w:tabs>
        <w:rPr>
          <w:sz w:val="20"/>
        </w:rPr>
      </w:pPr>
      <w:r>
        <w:rPr>
          <w:sz w:val="20"/>
        </w:rPr>
        <w:t xml:space="preserve">California should adopt an approach similar to the one proposed above for demand reductions. </w:t>
      </w:r>
    </w:p>
    <w:p>
      <w:pPr>
        <w:pStyle w:val="Heading1"/>
        <w:ind w:hanging="0" w:start="0"/>
        <w:rPr/>
      </w:pPr>
      <w:r>
        <w:rPr/>
        <w:t xml:space="preserve">Long tern solution—Utilities must outsource the procurement function </w:t>
      </w:r>
    </w:p>
    <w:p>
      <w:pPr>
        <w:pStyle w:val="BodyText"/>
        <w:numPr>
          <w:ilvl w:val="2"/>
          <w:numId w:val="5"/>
        </w:numPr>
        <w:tabs>
          <w:tab w:val="clear" w:pos="720"/>
        </w:tabs>
        <w:spacing w:lineRule="auto" w:line="240"/>
        <w:ind w:hanging="360" w:start="360" w:end="0"/>
        <w:rPr/>
      </w:pPr>
      <w:r>
        <w:rPr/>
        <w:t xml:space="preserve">Utilities’ incentives have long been, and perhaps always will be, misaligned with consumers’ best interests.  Utilities across the country resist contracting in forward markets.  In every other market, commodities as well as financial, participants hedge their exposures to spot prices.  Gas and electricity are the most volatile commodities on the planet, yet end users are largely unhedged because utilities serve as “portfolio managers”, a role they are institutionally unsuited for.  </w:t>
      </w:r>
    </w:p>
    <w:p>
      <w:pPr>
        <w:pStyle w:val="BodyText"/>
        <w:numPr>
          <w:ilvl w:val="2"/>
          <w:numId w:val="5"/>
        </w:numPr>
        <w:tabs>
          <w:tab w:val="clear" w:pos="720"/>
        </w:tabs>
        <w:spacing w:lineRule="auto" w:line="240"/>
        <w:ind w:hanging="360" w:start="360" w:end="0"/>
        <w:rPr/>
      </w:pPr>
      <w:r>
        <w:rPr/>
        <w:t>Utilities must be removed from this role.  In some states and municipalities, this role is “outsourced” to companies that maintain a hedged portfolio approved by regulators.  The results provide a dramatic contrast to the California situation.  In California, we have witnessed dozens of missed opportunities to avoid the current crisis.  While it is tempting to blame the utilities for these missed opportunities, the primary culprit is a regulatory structure that puts the utilities in a role they are unable to fill.  Examples are plentiful:</w:t>
      </w:r>
    </w:p>
    <w:p>
      <w:pPr>
        <w:pStyle w:val="Normal"/>
        <w:numPr>
          <w:ilvl w:val="1"/>
          <w:numId w:val="11"/>
        </w:numPr>
        <w:tabs>
          <w:tab w:val="clear" w:pos="720"/>
        </w:tabs>
        <w:ind w:hanging="360" w:start="720" w:end="0"/>
        <w:rPr>
          <w:sz w:val="20"/>
        </w:rPr>
      </w:pPr>
      <w:r>
        <w:rPr>
          <w:sz w:val="20"/>
        </w:rPr>
        <w:t>California determines gas rates using monthly prices.  When daily prices surge above the monthly price, gas LDCs are best served by selling their supplies into the daily market rather than filling storage.  This near sighted view makes for even tighter daily markets and even higher prices in subsequent periods.  At a minimum, a detailed examination should be undertaken to revise these incentives.  Nevertheless, no command and control solution will be free of misaligned incentives.  The real solution requires getting utilities out of this function.</w:t>
      </w:r>
    </w:p>
    <w:p>
      <w:pPr>
        <w:pStyle w:val="Normal"/>
        <w:numPr>
          <w:ilvl w:val="1"/>
          <w:numId w:val="11"/>
        </w:numPr>
        <w:tabs>
          <w:tab w:val="clear" w:pos="720"/>
        </w:tabs>
        <w:ind w:hanging="360" w:start="720" w:end="0"/>
        <w:rPr>
          <w:sz w:val="20"/>
        </w:rPr>
      </w:pPr>
      <w:r>
        <w:rPr>
          <w:sz w:val="20"/>
        </w:rPr>
        <w:t>At the beginning of the summer numerous companies offered San Diego Gas and Electric the opportunity to lock in forward prices at levels below the current price cap (some even retroactively to June 1).  San Diego declined these and subsequent offers until it was too late.</w:t>
      </w:r>
    </w:p>
    <w:p>
      <w:pPr>
        <w:pStyle w:val="Normal"/>
        <w:numPr>
          <w:ilvl w:val="1"/>
          <w:numId w:val="11"/>
        </w:numPr>
        <w:tabs>
          <w:tab w:val="clear" w:pos="720"/>
        </w:tabs>
        <w:ind w:hanging="360" w:start="720" w:end="0"/>
        <w:rPr>
          <w:sz w:val="20"/>
        </w:rPr>
      </w:pPr>
      <w:r>
        <w:rPr>
          <w:sz w:val="20"/>
        </w:rPr>
        <w:t>Both SCE and PG&amp;E could have purchased more supplies on a long-term basis in forward markets at levels that would have prevented their current distress.</w:t>
      </w:r>
    </w:p>
    <w:p>
      <w:pPr>
        <w:pStyle w:val="Normal"/>
        <w:numPr>
          <w:ilvl w:val="0"/>
          <w:numId w:val="13"/>
        </w:numPr>
        <w:tabs>
          <w:tab w:val="clear" w:pos="720"/>
        </w:tabs>
        <w:ind w:hanging="360" w:start="360" w:end="0"/>
        <w:rPr>
          <w:sz w:val="20"/>
        </w:rPr>
      </w:pPr>
      <w:r>
        <w:rPr>
          <w:b/>
          <w:bCs/>
          <w:i/>
          <w:iCs/>
          <w:sz w:val="20"/>
        </w:rPr>
        <w:t xml:space="preserve">Provide financial support to the utilities while avoiding rate shock.  </w:t>
      </w:r>
      <w:r>
        <w:rPr>
          <w:sz w:val="20"/>
        </w:rPr>
        <w:t>Near term intervention must be supported by solvent utilities.  Without them, there are few resources to support the demand side reductions, supply additions, transmission expansions, and forward contracting needed to work out of the current difficulties.  This support should include near term credit guarantees as well as rate increases.  The rate increases will have to be spread over long periods to avoid rate shocks.  California has enacted a 10% increase, but additional increases must be considered.  By securitizing the utilities’ purchase costs, California can avoid making dramatic increases in electric rates.</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08" w:hanging="288"/>
      </w:pPr>
      <w:rPr>
        <w:rFonts w:ascii="Wingdings" w:hAnsi="Wingdings" w:cs="Wingdings" w:hint="default"/>
      </w:rPr>
    </w:lvl>
  </w:abstractNum>
  <w:abstractNum w:abstractNumId="3">
    <w:lvl w:ilvl="0">
      <w:start w:val="1"/>
      <w:numFmt w:val="bullet"/>
      <w:lvlText w:val=""/>
      <w:lvlJc w:val="start"/>
      <w:pPr>
        <w:tabs>
          <w:tab w:val="num" w:pos="648"/>
        </w:tabs>
        <w:ind w:start="648" w:hanging="360"/>
      </w:pPr>
      <w:rPr>
        <w:rFonts w:ascii="Wingdings" w:hAnsi="Wingdings" w:cs="Wingdings" w:hint="default"/>
      </w:rPr>
    </w:lvl>
  </w:abstractNum>
  <w:abstractNum w:abstractNumId="4">
    <w:lvl w:ilvl="0">
      <w:start w:val="1"/>
      <w:numFmt w:val="bullet"/>
      <w:lvlText w:val=""/>
      <w:lvlJc w:val="start"/>
      <w:pPr>
        <w:tabs>
          <w:tab w:val="num" w:pos="720"/>
        </w:tabs>
        <w:ind w:start="648" w:hanging="288"/>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872"/>
        </w:tabs>
        <w:ind w:start="1872" w:hanging="432"/>
      </w:pPr>
      <w:rPr>
        <w:rFonts w:ascii="Wingdings" w:hAnsi="Wingdings" w:cs="Wingdings" w:hint="default"/>
      </w:rPr>
    </w:lvl>
    <w:lvl w:ilvl="2">
      <w:start w:val="1"/>
      <w:numFmt w:val="bullet"/>
      <w:lvlText w:val=""/>
      <w:lvlJc w:val="start"/>
      <w:pPr>
        <w:tabs>
          <w:tab w:val="num" w:pos="2520"/>
        </w:tabs>
        <w:ind w:start="2448" w:hanging="288"/>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1080"/>
        </w:tabs>
        <w:ind w:start="1008" w:hanging="288"/>
      </w:pPr>
      <w:rPr>
        <w:rFonts w:ascii="Wingdings" w:hAnsi="Wingdings" w:cs="Wingdings" w:hint="default"/>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648"/>
        </w:tabs>
        <w:ind w:start="648" w:hanging="360"/>
      </w:pPr>
      <w:rPr>
        <w:rFonts w:ascii="Wingdings" w:hAnsi="Wingdings" w:cs="Wingdings" w:hint="default"/>
      </w:rPr>
    </w:lvl>
  </w:abstractNum>
  <w:abstractNum w:abstractNumId="11">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872"/>
        </w:tabs>
        <w:ind w:start="1872" w:hanging="432"/>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2">
    <w:lvl w:ilvl="0">
      <w:start w:val="1"/>
      <w:numFmt w:val="bullet"/>
      <w:lvlText w:val=""/>
      <w:lvlJc w:val="start"/>
      <w:pPr>
        <w:tabs>
          <w:tab w:val="num" w:pos="720"/>
        </w:tabs>
        <w:ind w:start="648" w:hanging="288"/>
      </w:pPr>
      <w:rPr>
        <w:rFonts w:ascii="Wingdings" w:hAnsi="Wingdings" w:cs="Wingdings" w:hint="default"/>
      </w:rPr>
    </w:lvl>
  </w:abstractNum>
  <w:abstractNum w:abstractNumId="13">
    <w:lvl w:ilvl="0">
      <w:start w:val="1"/>
      <w:numFmt w:val="bullet"/>
      <w:lvlText w:val=""/>
      <w:lvlJc w:val="start"/>
      <w:pPr>
        <w:tabs>
          <w:tab w:val="num" w:pos="1080"/>
        </w:tabs>
        <w:ind w:start="1008" w:hanging="288"/>
      </w:pPr>
      <w:rPr>
        <w:rFonts w:ascii="Wingdings" w:hAnsi="Wingdings" w:cs="Wingdings" w:hint="default"/>
      </w:rPr>
    </w:lvl>
  </w:abstractNum>
  <w:abstractNum w:abstractNumId="14">
    <w:lvl w:ilvl="0">
      <w:start w:val="1"/>
      <w:numFmt w:val="bullet"/>
      <w:lvlText w:val=""/>
      <w:lvlJc w:val="start"/>
      <w:pPr>
        <w:tabs>
          <w:tab w:val="num" w:pos="360"/>
        </w:tabs>
        <w:ind w:start="288" w:hanging="288"/>
      </w:pPr>
      <w:rPr>
        <w:rFonts w:ascii="Wingdings" w:hAnsi="Wingdings" w:cs="Wingdings" w:hint="default"/>
      </w:r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bullet"/>
      <w:lvlText w:val=""/>
      <w:lvlJc w:val="start"/>
      <w:pPr>
        <w:tabs>
          <w:tab w:val="num" w:pos="648"/>
        </w:tabs>
        <w:ind w:start="648"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b/>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i/>
      <w:iCs/>
      <w:sz w:val="20"/>
    </w:rPr>
  </w:style>
  <w:style w:type="paragraph" w:styleId="BodyText">
    <w:name w:val="Body Text"/>
    <w:basedOn w:val="Normal"/>
    <w:pPr>
      <w:spacing w:lineRule="auto" w:line="36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2000-12-27T17:20:00Z</dcterms:created>
  <dc:creator>skean</dc:creator>
  <dc:description/>
  <dc:language>en-CA</dc:language>
  <cp:lastModifiedBy>jdasovic</cp:lastModifiedBy>
  <cp:lastPrinted>2000-12-27T14:52:00Z</cp:lastPrinted>
  <dcterms:modified xsi:type="dcterms:W3CDTF">2001-01-09T04:54:00Z</dcterms:modified>
  <cp:revision>11</cp:revision>
  <dc:subject/>
  <dc:title>Solutions</dc:title>
</cp:coreProperties>
</file>