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Solutions</w:t>
      </w:r>
    </w:p>
    <w:p>
      <w:pPr>
        <w:pStyle w:val="BodyText"/>
        <w:rPr/>
      </w:pPr>
      <w:r>
        <w:rPr/>
        <w:tab/>
        <w:t>There is good news.  There are workable solutions, which will reduce prices and put California on track to deliver the original promise of a competitive power sector.  These solutions require a common understanding of the problem and will require some attention to gas markets as well.</w:t>
      </w:r>
    </w:p>
    <w:p>
      <w:pPr>
        <w:pStyle w:val="Normal"/>
        <w:spacing w:lineRule="auto" w:line="360"/>
        <w:rPr>
          <w:b/>
          <w:bCs/>
          <w:sz w:val="20"/>
        </w:rPr>
      </w:pPr>
      <w:r>
        <w:rPr>
          <w:b/>
          <w:bCs/>
          <w:sz w:val="20"/>
        </w:rPr>
        <w:t>The problems.</w:t>
      </w:r>
    </w:p>
    <w:p>
      <w:pPr>
        <w:pStyle w:val="BodyText"/>
        <w:rPr/>
      </w:pPr>
      <w:r>
        <w:rPr/>
        <w:tab/>
        <w:t>The problems in gas and power markets share the following three characteristics:</w:t>
      </w:r>
    </w:p>
    <w:p>
      <w:pPr>
        <w:pStyle w:val="Normal"/>
        <w:numPr>
          <w:ilvl w:val="0"/>
          <w:numId w:val="2"/>
        </w:numPr>
        <w:spacing w:lineRule="auto" w:line="360"/>
        <w:rPr>
          <w:sz w:val="20"/>
        </w:rPr>
      </w:pPr>
      <w:r>
        <w:rPr>
          <w:sz w:val="20"/>
        </w:rPr>
        <w:t>Excess reliance on spot markets.</w:t>
      </w:r>
    </w:p>
    <w:p>
      <w:pPr>
        <w:pStyle w:val="Normal"/>
        <w:numPr>
          <w:ilvl w:val="0"/>
          <w:numId w:val="2"/>
        </w:numPr>
        <w:spacing w:lineRule="auto" w:line="360"/>
        <w:rPr>
          <w:sz w:val="20"/>
        </w:rPr>
      </w:pPr>
      <w:r>
        <w:rPr>
          <w:sz w:val="20"/>
        </w:rPr>
        <w:t>Insufficient demand side response when prices rise.</w:t>
      </w:r>
    </w:p>
    <w:p>
      <w:pPr>
        <w:pStyle w:val="Normal"/>
        <w:numPr>
          <w:ilvl w:val="0"/>
          <w:numId w:val="2"/>
        </w:numPr>
        <w:spacing w:lineRule="auto" w:line="360"/>
        <w:rPr>
          <w:sz w:val="20"/>
        </w:rPr>
      </w:pPr>
      <w:r>
        <w:rPr>
          <w:sz w:val="20"/>
        </w:rPr>
        <w:t>Insufficient supplies.</w:t>
      </w:r>
    </w:p>
    <w:p>
      <w:pPr>
        <w:pStyle w:val="Normal"/>
        <w:numPr>
          <w:ilvl w:val="0"/>
          <w:numId w:val="2"/>
        </w:numPr>
        <w:spacing w:lineRule="auto" w:line="360"/>
        <w:rPr>
          <w:sz w:val="20"/>
        </w:rPr>
      </w:pPr>
      <w:r>
        <w:rPr>
          <w:sz w:val="20"/>
        </w:rPr>
        <w:t>Financially unstable institutions (the utilities and the ISO) that create systemic risks and a reduced ability to intervene quickly.</w:t>
      </w:r>
    </w:p>
    <w:p>
      <w:pPr>
        <w:pStyle w:val="Normal"/>
        <w:spacing w:lineRule="auto" w:line="360"/>
        <w:rPr>
          <w:b/>
          <w:bCs/>
          <w:sz w:val="20"/>
        </w:rPr>
      </w:pPr>
      <w:r>
        <w:rPr>
          <w:b/>
          <w:bCs/>
          <w:sz w:val="20"/>
        </w:rPr>
        <w:t>The solutions.</w:t>
      </w:r>
    </w:p>
    <w:p>
      <w:pPr>
        <w:pStyle w:val="BodyText"/>
        <w:rPr/>
      </w:pPr>
      <w:r>
        <w:rPr/>
        <w:tab/>
        <w:t>The solutions to California’s current problems must directly address each of these problems in both the short and the long term.</w:t>
      </w:r>
    </w:p>
    <w:p>
      <w:pPr>
        <w:pStyle w:val="Normal"/>
        <w:numPr>
          <w:ilvl w:val="0"/>
          <w:numId w:val="1"/>
        </w:numPr>
        <w:spacing w:lineRule="auto" w:line="360"/>
        <w:rPr>
          <w:sz w:val="20"/>
        </w:rPr>
      </w:pPr>
      <w:r>
        <w:rPr>
          <w:b/>
          <w:bCs/>
          <w:i/>
          <w:iCs/>
          <w:sz w:val="20"/>
        </w:rPr>
        <w:t>Decrease demand.</w:t>
      </w:r>
      <w:r>
        <w:rPr>
          <w:sz w:val="20"/>
        </w:rPr>
        <w:t xml:space="preserve">  We have already passed the point where supply solutions can have a significant impact on the summer of 2001.  The fastest way to balance supply and demand now is an active program of buying down demand.  Our people believe that the state can have a significant impact on forward prices by buying down 2000 MW of demand for an extended period – e.g. through October of 2001.  We are prepared to invest significant amounts in this effort.  Price caps serve to hinder this effort, but if direct payments are made to those who provide demand reduction commitments, then price caps at the retail level can remain in effect while demand is reduced.  The advantage of this approach is that it is voluntary.  It does not put the government in the position of deciding whose supply to cut; instead, businesses can make decisions on their own.  We have been through this process in the Northwest and it works.  California may wish to condition demand reduction on a continuing commitment to pay employees of firms that elect to reduce their demand.</w:t>
      </w:r>
    </w:p>
    <w:p>
      <w:pPr>
        <w:pStyle w:val="Normal"/>
        <w:numPr>
          <w:ilvl w:val="0"/>
          <w:numId w:val="1"/>
        </w:numPr>
        <w:spacing w:lineRule="auto" w:line="360"/>
        <w:rPr>
          <w:sz w:val="20"/>
        </w:rPr>
      </w:pPr>
      <w:r>
        <w:rPr>
          <w:b/>
          <w:bCs/>
          <w:i/>
          <w:iCs/>
          <w:sz w:val="20"/>
        </w:rPr>
        <w:t>Increase supply.</w:t>
      </w:r>
      <w:r>
        <w:rPr>
          <w:sz w:val="20"/>
        </w:rPr>
        <w:t xml:space="preserve">  There are several near term and longer term policies which will help bring additional supply to California: </w:t>
      </w:r>
    </w:p>
    <w:p>
      <w:pPr>
        <w:pStyle w:val="Normal"/>
        <w:numPr>
          <w:ilvl w:val="1"/>
          <w:numId w:val="1"/>
        </w:numPr>
        <w:spacing w:lineRule="auto" w:line="360"/>
        <w:rPr>
          <w:sz w:val="20"/>
        </w:rPr>
      </w:pPr>
      <w:r>
        <w:rPr>
          <w:sz w:val="20"/>
        </w:rPr>
        <w:t>Near term and temporary relaxation of emissions limits will make additional generation available immediately.</w:t>
      </w:r>
    </w:p>
    <w:p>
      <w:pPr>
        <w:pStyle w:val="Normal"/>
        <w:numPr>
          <w:ilvl w:val="1"/>
          <w:numId w:val="1"/>
        </w:numPr>
        <w:spacing w:lineRule="auto" w:line="360"/>
        <w:rPr>
          <w:sz w:val="20"/>
        </w:rPr>
      </w:pPr>
      <w:r>
        <w:rPr>
          <w:sz w:val="20"/>
        </w:rPr>
        <w:t>A statewide goal of siting new generation and transmission lines backed up by credible progress and action will reduce forward prices.  Resolving permitting and siting issues progressively faster and stating a clear and tangible goal – e.g. 10,000 MW by ’02 – will positively affect forward prices.</w:t>
      </w:r>
    </w:p>
    <w:p>
      <w:pPr>
        <w:pStyle w:val="Normal"/>
        <w:numPr>
          <w:ilvl w:val="0"/>
          <w:numId w:val="1"/>
        </w:numPr>
        <w:spacing w:lineRule="auto" w:line="360"/>
        <w:rPr>
          <w:sz w:val="20"/>
        </w:rPr>
      </w:pPr>
      <w:r>
        <w:rPr>
          <w:b/>
          <w:bCs/>
          <w:i/>
          <w:iCs/>
          <w:sz w:val="20"/>
        </w:rPr>
        <w:t xml:space="preserve">Reduce exposure to spot prices.  </w:t>
      </w:r>
      <w:r>
        <w:rPr>
          <w:sz w:val="20"/>
        </w:rPr>
        <w:t>Utilities’ incentives have long been, and perhaps always will be, misaligned with consumers’ best interests.  Utilities across the country resist contracting in forward markets.  In every other market, commodities as well as financial, participants hedge their exposures to spot prices.  Gas and electricity are the most volatile commodities on the planet, yet end users are largely unhedged because utilities serve as “portfolio managers”, a role they are institutionally unsuited for.  Utilities must be removed from this role.  In some states and municipalities, this role is “outsourced” to companies that maintain a hedged portfolio approved by regulators.  The results provide a dramatic contrast to the California situation.  In California, we have witnessed dozens of missed opportunities to avoid the current crisis.  While it is tempting to blame the utilities for these missed opportunities, the primary culprit is a regulatory structure that puts the utilities in a role they are unable to fill.  Examples are plentiful:</w:t>
      </w:r>
    </w:p>
    <w:p>
      <w:pPr>
        <w:pStyle w:val="Normal"/>
        <w:numPr>
          <w:ilvl w:val="1"/>
          <w:numId w:val="1"/>
        </w:numPr>
        <w:spacing w:lineRule="auto" w:line="360"/>
        <w:rPr>
          <w:sz w:val="20"/>
        </w:rPr>
      </w:pPr>
      <w:r>
        <w:rPr>
          <w:sz w:val="20"/>
        </w:rPr>
        <w:t>California determines gas rates using monthly prices.  When daily prices surge above the monthly price, gas LDCs are best served by selling their supplies into the daily market rather than filling storage.  This near sighted view makes for even tighter daily markets and even higher prices in subsequent periods.</w:t>
      </w:r>
    </w:p>
    <w:p>
      <w:pPr>
        <w:pStyle w:val="Normal"/>
        <w:numPr>
          <w:ilvl w:val="1"/>
          <w:numId w:val="1"/>
        </w:numPr>
        <w:spacing w:lineRule="auto" w:line="360"/>
        <w:rPr>
          <w:sz w:val="20"/>
        </w:rPr>
      </w:pPr>
      <w:r>
        <w:rPr>
          <w:sz w:val="20"/>
        </w:rPr>
        <w:t>At the beginning of the summer numerous companies offered San Diego Gas and Electric the opportunity to lock in forward prices at levels below the current price cap (some even retroactively to June 1).  San Diego declined these and subsequent offers until it was too late.</w:t>
      </w:r>
    </w:p>
    <w:p>
      <w:pPr>
        <w:pStyle w:val="Normal"/>
        <w:numPr>
          <w:ilvl w:val="1"/>
          <w:numId w:val="1"/>
        </w:numPr>
        <w:spacing w:lineRule="auto" w:line="360"/>
        <w:rPr>
          <w:sz w:val="20"/>
        </w:rPr>
      </w:pPr>
      <w:r>
        <w:rPr>
          <w:sz w:val="20"/>
        </w:rPr>
        <w:t>Both SCE and PG&amp;E could have purchased on a long-term basis in forward markets at levels that would have prevented their current distress.</w:t>
      </w:r>
    </w:p>
    <w:p>
      <w:pPr>
        <w:pStyle w:val="Normal"/>
        <w:numPr>
          <w:ilvl w:val="0"/>
          <w:numId w:val="1"/>
        </w:numPr>
        <w:spacing w:lineRule="auto" w:line="360"/>
        <w:rPr>
          <w:sz w:val="20"/>
        </w:rPr>
      </w:pPr>
      <w:r>
        <w:rPr>
          <w:b/>
          <w:bCs/>
          <w:i/>
          <w:iCs/>
          <w:sz w:val="20"/>
        </w:rPr>
        <w:t xml:space="preserve">Provide financial support to the utilities while avoiding rate shock.  </w:t>
      </w:r>
      <w:r>
        <w:rPr>
          <w:sz w:val="20"/>
        </w:rPr>
        <w:t>Near term intervention must be supported by solvent utilities.  Without them, there are few resources to support the demand side reductions, supply additions, transmission expansions, and forward contracting needed to work out of the current difficulties.  This support should include near term credit guarantees as well as rate increases.  The rate increases will have to be spread over long periods to avoid rate shocks.</w:t>
      </w:r>
    </w:p>
    <w:p>
      <w:pPr>
        <w:pStyle w:val="Normal"/>
        <w:numPr>
          <w:ilvl w:val="0"/>
          <w:numId w:val="1"/>
        </w:numPr>
        <w:spacing w:lineRule="auto" w:line="360"/>
        <w:rPr>
          <w:sz w:val="20"/>
        </w:rPr>
      </w:pPr>
      <w:r>
        <w:rPr>
          <w:b/>
          <w:bCs/>
          <w:i/>
          <w:iCs/>
          <w:sz w:val="20"/>
        </w:rPr>
        <w:t xml:space="preserve">Process: get “nonpartisan” experts in the room. </w:t>
      </w:r>
      <w:r>
        <w:rPr>
          <w:sz w:val="20"/>
        </w:rPr>
        <w:t xml:space="preserve"> The policy discussion in California to date has suffered from insufficient information and insufficiently broad participation.  We can make available rate and economic experts who are not “advocates”.  Drawing on similar individuals from the utilities, CPUC staff, Cal ISO staff, and generators will help improve the quality of the discussion and the effectiveness of the policy initiatives.</w:t>
      </w:r>
    </w:p>
    <w:p>
      <w:pPr>
        <w:pStyle w:val="BodyTextIndent"/>
        <w:rPr/>
      </w:pPr>
      <w:r>
        <w:rPr/>
        <w:t xml:space="preserve">The good news is that forward prices today, in both gas and power, show heavy “backwardation”.  That is, prices for future periods are substantially below current periods.  If California demonstrates real commitment to increasing supply and reducing demand, these prices can go lower.   Just as importantly, if state and federal policies discourage demand reductions and supply additions prices will rise in forward markets and extend California’s problems and reduce the ability to find politically palatable solutions.  If California’s institutions are creditworthy, procurement in the forward market can reduce prices significantly below current levels.  The attached charts show the extent of backwardation in these markets today.  </w:t>
      </w:r>
      <w:r>
        <w:br w:type="page"/>
      </w:r>
    </w:p>
    <w:p>
      <w:pPr>
        <w:pStyle w:val="Normal"/>
        <w:spacing w:lineRule="auto" w:line="360"/>
        <w:ind w:start="720" w:end="0"/>
        <w:rPr>
          <w:sz w:val="20"/>
        </w:rPr>
      </w:pPr>
      <w:r>
        <w:rPr>
          <w:sz w:val="20"/>
        </w:rPr>
      </w:r>
    </w:p>
    <w:tbl>
      <w:tblPr>
        <w:tblW w:w="960" w:type="dxa"/>
        <w:jc w:val="start"/>
        <w:tblInd w:w="0" w:type="dxa"/>
        <w:tblLayout w:type="fixed"/>
        <w:tblCellMar>
          <w:top w:w="0" w:type="dxa"/>
          <w:start w:w="0" w:type="dxa"/>
          <w:bottom w:w="0" w:type="dxa"/>
          <w:end w:w="0" w:type="dxa"/>
        </w:tblCellMar>
      </w:tblPr>
      <w:tblGrid>
        <w:gridCol w:w="960"/>
      </w:tblGrid>
      <w:tr>
        <w:trPr>
          <w:trHeight w:val="255" w:hRule="atLeast"/>
        </w:trPr>
        <w:tc>
          <w:tcPr>
            <w:tcW w:w="96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spacing w:lineRule="auto" w:line="360"/>
        <w:ind w:start="72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bCs/>
      <w:i/>
      <w:iCs/>
      <w:sz w:val="20"/>
    </w:rPr>
  </w:style>
  <w:style w:type="paragraph" w:styleId="BodyText">
    <w:name w:val="Body Text"/>
    <w:basedOn w:val="Normal"/>
    <w:pPr>
      <w:spacing w:lineRule="auto" w:line="36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2000-12-27T17:20:00Z</dcterms:created>
  <dc:creator>skean</dc:creator>
  <dc:description/>
  <dc:language>en-CA</dc:language>
  <cp:lastModifiedBy>skean</cp:lastModifiedBy>
  <cp:lastPrinted>2000-12-26T12:51:00Z</cp:lastPrinted>
  <dcterms:modified xsi:type="dcterms:W3CDTF">2000-12-27T17:20:00Z</dcterms:modified>
  <cp:revision>2</cp:revision>
  <dc:subject/>
  <dc:title>Solutions</dc:title>
</cp:coreProperties>
</file>