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96"/>
        </w:rPr>
      </w:pPr>
      <w:r>
        <w:rPr>
          <w:b/>
        </w:rPr>
        <w:drawing>
          <wp:inline distT="0" distB="0" distL="0" distR="0">
            <wp:extent cx="1647825" cy="17297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647825" cy="1729740"/>
                    </a:xfrm>
                    <a:prstGeom prst="rect">
                      <a:avLst/>
                    </a:prstGeom>
                    <a:noFill/>
                  </pic:spPr>
                </pic:pic>
              </a:graphicData>
            </a:graphic>
          </wp:inline>
        </w:drawing>
      </w:r>
    </w:p>
    <w:p>
      <w:pPr>
        <w:pStyle w:val="Heading1"/>
        <w:ind w:hanging="0" w:start="0"/>
        <w:jc w:val="center"/>
        <w:rPr>
          <w:sz w:val="96"/>
        </w:rPr>
      </w:pPr>
      <w:r>
        <w:rPr>
          <w:sz w:val="96"/>
        </w:rPr>
      </w:r>
    </w:p>
    <w:p>
      <w:pPr>
        <w:pStyle w:val="Heading1"/>
        <w:ind w:hanging="0" w:start="0"/>
        <w:jc w:val="center"/>
        <w:rPr>
          <w:sz w:val="52"/>
        </w:rPr>
      </w:pPr>
      <w:r>
        <w:rPr>
          <w:sz w:val="52"/>
        </w:rPr>
        <w:t>Enron Energy Services</w:t>
      </w:r>
    </w:p>
    <w:p>
      <w:pPr>
        <w:pStyle w:val="Heading1"/>
        <w:ind w:hanging="0" w:start="0"/>
        <w:jc w:val="center"/>
        <w:rPr>
          <w:sz w:val="72"/>
        </w:rPr>
      </w:pPr>
      <w:r>
        <w:rPr>
          <w:sz w:val="72"/>
        </w:rPr>
      </w:r>
    </w:p>
    <w:p>
      <w:pPr>
        <w:pStyle w:val="Heading1"/>
        <w:ind w:hanging="0" w:start="0"/>
        <w:jc w:val="center"/>
        <w:rPr>
          <w:sz w:val="72"/>
        </w:rPr>
      </w:pPr>
      <w:r>
        <w:rPr>
          <w:sz w:val="72"/>
        </w:rPr>
      </w:r>
    </w:p>
    <w:p>
      <w:pPr>
        <w:pStyle w:val="Heading1"/>
        <w:ind w:hanging="0" w:start="0"/>
        <w:jc w:val="center"/>
        <w:rPr>
          <w:sz w:val="72"/>
        </w:rPr>
      </w:pPr>
      <w:r>
        <w:rPr>
          <w:sz w:val="72"/>
        </w:rPr>
        <w:t xml:space="preserve">Notice of Solicitation for Sealed Bids – Retail Commodity Supply </w:t>
      </w:r>
    </w:p>
    <w:p>
      <w:pPr>
        <w:pStyle w:val="Heading2"/>
        <w:ind w:hanging="0" w:start="0"/>
        <w:rPr>
          <w:sz w:val="72"/>
        </w:rPr>
      </w:pPr>
      <w:r>
        <w:rPr>
          <w:sz w:val="72"/>
        </w:rPr>
      </w:r>
    </w:p>
    <w:p>
      <w:pPr>
        <w:pStyle w:val="Heading2"/>
        <w:ind w:hanging="0" w:start="0"/>
        <w:rPr/>
      </w:pPr>
      <w:r>
        <w:rPr/>
      </w:r>
    </w:p>
    <w:p>
      <w:pPr>
        <w:pStyle w:val="Heading2"/>
        <w:ind w:hanging="0" w:start="0"/>
        <w:rPr>
          <w:sz w:val="56"/>
        </w:rPr>
      </w:pPr>
      <w:r>
        <w:rPr>
          <w:sz w:val="56"/>
        </w:rPr>
        <w:t>Power</w:t>
      </w:r>
    </w:p>
    <w:p>
      <w:pPr>
        <w:pStyle w:val="Heading2"/>
        <w:ind w:hanging="0" w:start="0"/>
        <w:rPr>
          <w:sz w:val="56"/>
        </w:rPr>
      </w:pPr>
      <w:r>
        <w:rPr>
          <w:sz w:val="56"/>
        </w:rPr>
        <w:t>Phase I – Lot I</w:t>
      </w:r>
      <w:r>
        <w:br w:type="page"/>
      </w:r>
    </w:p>
    <w:p>
      <w:pPr>
        <w:pStyle w:val="Heading2"/>
        <w:ind w:hanging="0" w:start="0"/>
        <w:jc w:val="start"/>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shd w:fill="D8D8D8" w:val="clear"/>
          </w:tcPr>
          <w:p>
            <w:pPr>
              <w:pStyle w:val="Heading2"/>
              <w:ind w:hanging="0" w:start="0"/>
              <w:jc w:val="start"/>
              <w:rPr>
                <w:b/>
                <w:sz w:val="28"/>
              </w:rPr>
            </w:pPr>
            <w:r>
              <w:rPr>
                <w:b/>
                <w:sz w:val="28"/>
              </w:rPr>
              <w:t>Table of Contents</w:t>
            </w:r>
          </w:p>
        </w:tc>
      </w:tr>
    </w:tbl>
    <w:p>
      <w:pPr>
        <w:pStyle w:val="Heading2"/>
        <w:ind w:hanging="0" w:start="0"/>
        <w:jc w:val="start"/>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1728"/>
        <w:gridCol w:w="5220"/>
        <w:gridCol w:w="1908"/>
      </w:tblGrid>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sz w:val="24"/>
              </w:rPr>
            </w:pPr>
            <w:r>
              <w:rPr>
                <w:b/>
                <w:sz w:val="24"/>
              </w:rPr>
              <w:t>I.  Introduction</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sz w:val="24"/>
              </w:rPr>
            </w:pPr>
            <w:r>
              <w:rPr>
                <w:b/>
                <w:sz w:val="24"/>
              </w:rPr>
              <w:t>Page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b/>
                <w:sz w:val="24"/>
              </w:rPr>
            </w:pPr>
            <w:r>
              <w:rPr>
                <w:b/>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A.</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Summary of Solicitation</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3</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B.</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Key Action Dates</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3</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C.</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Contact Person</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3</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D.</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Eligibility Criteria</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3</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sz w:val="24"/>
              </w:rPr>
            </w:pPr>
            <w:r>
              <w:rPr>
                <w:b/>
                <w:sz w:val="24"/>
              </w:rPr>
              <w:t>II.  Administrative Information</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sz w:val="24"/>
              </w:rPr>
            </w:pPr>
            <w:r>
              <w:rPr>
                <w:b/>
                <w:sz w:val="24"/>
              </w:rPr>
              <w:t>Page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b/>
                <w:sz w:val="24"/>
              </w:rPr>
            </w:pPr>
            <w:r>
              <w:rPr>
                <w:b/>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A.</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Confidentiality</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4</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B.</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Customer Load Information</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4</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C.</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Pricing Guidelines</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4</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sz w:val="24"/>
              </w:rPr>
            </w:pPr>
            <w:r>
              <w:rPr>
                <w:b/>
                <w:sz w:val="24"/>
              </w:rPr>
              <w:t>III.  Bid Process</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sz w:val="24"/>
              </w:rPr>
            </w:pPr>
            <w:r>
              <w:rPr>
                <w:b/>
                <w:sz w:val="24"/>
              </w:rPr>
              <w:t>Page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b/>
                <w:sz w:val="24"/>
              </w:rPr>
            </w:pPr>
            <w:r>
              <w:rPr>
                <w:b/>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A.</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Bid Evaluation and Notice</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5</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B.</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Subsequent Solicitations</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5</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C.</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Supplier Feedback</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 xml:space="preserve">5 – 6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sz w:val="24"/>
              </w:rPr>
            </w:pPr>
            <w:r>
              <w:rPr>
                <w:b/>
                <w:sz w:val="24"/>
              </w:rPr>
              <w:t>IV.  Exhibits, Schedules and Attachments</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sz w:val="24"/>
              </w:rPr>
            </w:pPr>
            <w:r>
              <w:rPr>
                <w:b/>
                <w:sz w:val="24"/>
              </w:rPr>
              <w:t>Page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b/>
                <w:sz w:val="24"/>
              </w:rPr>
            </w:pPr>
            <w:r>
              <w:rPr>
                <w:b/>
                <w:sz w:val="24"/>
              </w:rPr>
            </w:r>
          </w:p>
        </w:tc>
        <w:tc>
          <w:tcPr>
            <w:tcW w:w="522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Exhibit-C</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Form of Retail Confirmation, Full Management Services</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 xml:space="preserve">7 – 8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Schedule-1</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End User Facilities</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9</w:t>
            </w:r>
          </w:p>
        </w:tc>
      </w:tr>
      <w:tr>
        <w:trPr/>
        <w:tc>
          <w:tcPr>
            <w:tcW w:w="172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Attachment-I</w:t>
            </w:r>
          </w:p>
        </w:tc>
        <w:tc>
          <w:tcPr>
            <w:tcW w:w="52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Site List, Phase I – Lot I, Power</w:t>
            </w:r>
          </w:p>
        </w:tc>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 xml:space="preserve">10 – 11 </w:t>
            </w:r>
          </w:p>
        </w:tc>
      </w:tr>
    </w:tbl>
    <w:p>
      <w:pPr>
        <w:pStyle w:val="Heading2"/>
        <w:ind w:hanging="0" w:start="0"/>
        <w:jc w:val="start"/>
        <w:rPr>
          <w:sz w:val="24"/>
        </w:rPr>
      </w:pPr>
      <w:r>
        <w:rPr>
          <w:sz w:val="24"/>
        </w:rPr>
      </w:r>
      <w:r>
        <w:br w:type="page"/>
      </w:r>
    </w:p>
    <w:p>
      <w:pPr>
        <w:pStyle w:val="Heading2"/>
        <w:ind w:hanging="0" w:start="0"/>
        <w:jc w:val="start"/>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shd w:fill="D8D8D8" w:val="clear"/>
          </w:tcPr>
          <w:p>
            <w:pPr>
              <w:pStyle w:val="Heading2"/>
              <w:ind w:hanging="0" w:start="0"/>
              <w:jc w:val="start"/>
              <w:rPr>
                <w:b/>
                <w:sz w:val="28"/>
              </w:rPr>
            </w:pPr>
            <w:r>
              <w:rPr>
                <w:b/>
                <w:sz w:val="28"/>
              </w:rPr>
              <w:t>I.  Introduction</w:t>
            </w:r>
          </w:p>
        </w:tc>
      </w:tr>
    </w:tbl>
    <w:p>
      <w:pPr>
        <w:pStyle w:val="Heading2"/>
        <w:ind w:hanging="0" w:start="0"/>
        <w:jc w:val="start"/>
        <w:rPr>
          <w:sz w:val="28"/>
        </w:rPr>
      </w:pPr>
      <w:r>
        <w:rPr>
          <w:sz w:val="28"/>
        </w:rPr>
      </w:r>
    </w:p>
    <w:p>
      <w:pPr>
        <w:pStyle w:val="Heading1"/>
        <w:numPr>
          <w:ilvl w:val="0"/>
          <w:numId w:val="3"/>
        </w:numPr>
        <w:rPr>
          <w:b/>
        </w:rPr>
      </w:pPr>
      <w:r>
        <w:rPr>
          <w:b/>
        </w:rPr>
        <w:t>Summary of Solicitation</w:t>
      </w:r>
    </w:p>
    <w:p>
      <w:pPr>
        <w:pStyle w:val="Normal"/>
        <w:rPr>
          <w:rFonts w:ascii="Arial" w:hAnsi="Arial" w:cs="Arial"/>
          <w:b/>
          <w:sz w:val="24"/>
        </w:rPr>
      </w:pPr>
      <w:r>
        <w:rPr>
          <w:rFonts w:cs="Arial" w:ascii="Arial" w:hAnsi="Arial"/>
          <w:b/>
          <w:sz w:val="24"/>
        </w:rPr>
      </w:r>
    </w:p>
    <w:p>
      <w:pPr>
        <w:pStyle w:val="Normal"/>
        <w:ind w:start="720" w:end="0"/>
        <w:rPr/>
      </w:pPr>
      <w:r>
        <w:rPr>
          <w:rFonts w:cs="Arial" w:ascii="Arial" w:hAnsi="Arial"/>
          <w:sz w:val="24"/>
        </w:rPr>
        <w:t xml:space="preserve">This Notice of Solicitation requests bids for retail commodity (power only) supply for customers located in New Jersey and Pennsylvania, and will determine winners and losers based upon the simple cents per kilowatt-hour price over the term for the qualified bids received. </w:t>
      </w:r>
    </w:p>
    <w:p>
      <w:pPr>
        <w:pStyle w:val="Normal"/>
        <w:ind w:start="720" w:end="0"/>
        <w:rPr>
          <w:rFonts w:ascii="Arial" w:hAnsi="Arial" w:cs="Arial"/>
          <w:sz w:val="24"/>
        </w:rPr>
      </w:pPr>
      <w:r>
        <w:rPr>
          <w:rFonts w:cs="Arial" w:ascii="Arial" w:hAnsi="Arial"/>
          <w:sz w:val="24"/>
        </w:rPr>
      </w:r>
    </w:p>
    <w:p>
      <w:pPr>
        <w:pStyle w:val="Heading3"/>
        <w:numPr>
          <w:ilvl w:val="0"/>
          <w:numId w:val="3"/>
        </w:numPr>
        <w:ind w:hanging="0" w:start="0"/>
        <w:rPr/>
      </w:pPr>
      <w:r>
        <w:rPr/>
        <w:t>Key Action Dates</w:t>
      </w:r>
    </w:p>
    <w:p>
      <w:pPr>
        <w:pStyle w:val="Normal"/>
        <w:rPr>
          <w:rFonts w:ascii="Arial" w:hAnsi="Arial" w:cs="Arial"/>
          <w:sz w:val="24"/>
        </w:rPr>
      </w:pPr>
      <w:r>
        <w:rPr>
          <w:rFonts w:cs="Arial" w:ascii="Arial" w:hAnsi="Arial"/>
          <w:sz w:val="24"/>
        </w:rPr>
      </w:r>
    </w:p>
    <w:p>
      <w:pPr>
        <w:pStyle w:val="Normal"/>
        <w:ind w:start="720" w:end="0"/>
        <w:rPr/>
      </w:pPr>
      <w:r>
        <w:rPr>
          <w:rFonts w:cs="Arial" w:ascii="Arial" w:hAnsi="Arial"/>
          <w:sz w:val="24"/>
        </w:rPr>
        <w:t xml:space="preserve">Key activities and times for this Notice of Solicitation are presented below. This is a tentative schedule, please access the </w:t>
      </w:r>
      <w:r>
        <w:rPr>
          <w:rFonts w:cs="Arial" w:ascii="Arial" w:hAnsi="Arial"/>
          <w:i/>
          <w:sz w:val="24"/>
        </w:rPr>
        <w:t>DealBench</w:t>
      </w:r>
      <w:r>
        <w:rPr>
          <w:rFonts w:cs="Arial" w:ascii="Arial" w:hAnsi="Arial"/>
          <w:sz w:val="24"/>
        </w:rPr>
        <w:t>™ website for current  notices and updates or you can call Samuel Harrell at (713) 345-6785 or Brad Snyder at (713) 345-6786 to confirm these dates.</w:t>
      </w:r>
    </w:p>
    <w:p>
      <w:pPr>
        <w:pStyle w:val="Normal"/>
        <w:ind w:start="720" w:end="0"/>
        <w:rPr>
          <w:rFonts w:ascii="Arial" w:hAnsi="Arial" w:cs="Arial"/>
          <w:sz w:val="24"/>
        </w:rPr>
      </w:pPr>
      <w:r>
        <w:rPr>
          <w:rFonts w:cs="Arial" w:ascii="Arial" w:hAnsi="Arial"/>
          <w:sz w:val="24"/>
        </w:rPr>
      </w:r>
    </w:p>
    <w:tbl>
      <w:tblPr>
        <w:tblW w:w="7830" w:type="dxa"/>
        <w:jc w:val="start"/>
        <w:tblInd w:w="828" w:type="dxa"/>
        <w:tblLayout w:type="fixed"/>
        <w:tblCellMar>
          <w:top w:w="0" w:type="dxa"/>
          <w:start w:w="108" w:type="dxa"/>
          <w:bottom w:w="0" w:type="dxa"/>
          <w:end w:w="108" w:type="dxa"/>
        </w:tblCellMar>
      </w:tblPr>
      <w:tblGrid>
        <w:gridCol w:w="4500"/>
        <w:gridCol w:w="3330"/>
      </w:tblGrid>
      <w:tr>
        <w:trPr/>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Notice of Solicitation Released</w:t>
            </w:r>
          </w:p>
        </w:tc>
        <w:tc>
          <w:tcPr>
            <w:tcW w:w="333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February 6, 2001</w:t>
            </w:r>
          </w:p>
        </w:tc>
      </w:tr>
      <w:tr>
        <w:trPr/>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Bids Due</w:t>
            </w:r>
          </w:p>
        </w:tc>
        <w:tc>
          <w:tcPr>
            <w:tcW w:w="333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February 16, 2001</w:t>
            </w:r>
          </w:p>
        </w:tc>
      </w:tr>
      <w:tr>
        <w:trPr/>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Notice of Award</w:t>
            </w:r>
          </w:p>
        </w:tc>
        <w:tc>
          <w:tcPr>
            <w:tcW w:w="333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TBA</w:t>
            </w:r>
          </w:p>
        </w:tc>
      </w:tr>
      <w:tr>
        <w:trPr/>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Physical Supply Begins (Read Date)</w:t>
            </w:r>
          </w:p>
        </w:tc>
        <w:tc>
          <w:tcPr>
            <w:tcW w:w="333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March/April, 2001</w:t>
            </w:r>
          </w:p>
        </w:tc>
      </w:tr>
    </w:tbl>
    <w:p>
      <w:pPr>
        <w:pStyle w:val="Normal"/>
        <w:ind w:start="720" w:end="0"/>
        <w:rPr>
          <w:rFonts w:ascii="Arial" w:hAnsi="Arial" w:cs="Arial"/>
          <w:sz w:val="24"/>
        </w:rPr>
      </w:pPr>
      <w:r>
        <w:rPr>
          <w:rFonts w:cs="Arial" w:ascii="Arial" w:hAnsi="Arial"/>
          <w:sz w:val="24"/>
        </w:rPr>
      </w:r>
    </w:p>
    <w:p>
      <w:pPr>
        <w:pStyle w:val="Heading3"/>
        <w:numPr>
          <w:ilvl w:val="0"/>
          <w:numId w:val="3"/>
        </w:numPr>
        <w:ind w:hanging="0" w:start="0"/>
        <w:rPr/>
      </w:pPr>
      <w:r>
        <w:rPr/>
        <w:t>Contact Person</w:t>
      </w:r>
    </w:p>
    <w:p>
      <w:pPr>
        <w:pStyle w:val="Normal"/>
        <w:rPr/>
      </w:pPr>
      <w:r>
        <w:rPr/>
      </w:r>
    </w:p>
    <w:p>
      <w:pPr>
        <w:pStyle w:val="Normal"/>
        <w:ind w:start="720" w:end="0"/>
        <w:rPr>
          <w:rFonts w:ascii="Arial" w:hAnsi="Arial" w:cs="Arial"/>
          <w:sz w:val="24"/>
        </w:rPr>
      </w:pPr>
      <w:r>
        <w:rPr>
          <w:rFonts w:cs="Arial" w:ascii="Arial" w:hAnsi="Arial"/>
          <w:sz w:val="24"/>
        </w:rPr>
        <w:t>Questions or clarifications about this notice should be directed to:</w:t>
      </w:r>
    </w:p>
    <w:p>
      <w:pPr>
        <w:pStyle w:val="Normal"/>
        <w:ind w:start="720" w:end="0"/>
        <w:rPr>
          <w:rFonts w:ascii="Arial" w:hAnsi="Arial" w:cs="Arial"/>
          <w:sz w:val="24"/>
        </w:rPr>
      </w:pPr>
      <w:r>
        <w:rPr>
          <w:rFonts w:cs="Arial" w:ascii="Arial" w:hAnsi="Arial"/>
          <w:sz w:val="24"/>
        </w:rPr>
      </w:r>
    </w:p>
    <w:tbl>
      <w:tblPr>
        <w:tblW w:w="7920" w:type="dxa"/>
        <w:jc w:val="start"/>
        <w:tblInd w:w="738" w:type="dxa"/>
        <w:tblLayout w:type="fixed"/>
        <w:tblCellMar>
          <w:top w:w="0" w:type="dxa"/>
          <w:start w:w="108" w:type="dxa"/>
          <w:bottom w:w="0" w:type="dxa"/>
          <w:end w:w="108" w:type="dxa"/>
        </w:tblCellMar>
      </w:tblPr>
      <w:tblGrid>
        <w:gridCol w:w="4050"/>
        <w:gridCol w:w="3870"/>
      </w:tblGrid>
      <w:tr>
        <w:trPr/>
        <w:tc>
          <w:tcPr>
            <w:tcW w:w="4050" w:type="dxa"/>
            <w:tcBorders/>
          </w:tcPr>
          <w:p>
            <w:pPr>
              <w:pStyle w:val="Normal"/>
              <w:rPr>
                <w:rFonts w:ascii="Arial" w:hAnsi="Arial" w:cs="Arial"/>
                <w:sz w:val="24"/>
              </w:rPr>
            </w:pPr>
            <w:r>
              <w:rPr>
                <w:rFonts w:cs="Arial" w:ascii="Arial" w:hAnsi="Arial"/>
                <w:sz w:val="24"/>
              </w:rPr>
              <w:t>Samuel Harrell, Manager</w:t>
            </w:r>
          </w:p>
          <w:p>
            <w:pPr>
              <w:pStyle w:val="Normal"/>
              <w:rPr>
                <w:rFonts w:ascii="Arial" w:hAnsi="Arial" w:cs="Arial"/>
                <w:sz w:val="24"/>
              </w:rPr>
            </w:pPr>
            <w:r>
              <w:rPr>
                <w:rFonts w:cs="Arial" w:ascii="Arial" w:hAnsi="Arial"/>
                <w:sz w:val="24"/>
              </w:rPr>
              <w:t>Enron Energy Services</w:t>
            </w:r>
          </w:p>
          <w:p>
            <w:pPr>
              <w:pStyle w:val="Normal"/>
              <w:rPr>
                <w:rFonts w:ascii="Arial" w:hAnsi="Arial" w:cs="Arial"/>
                <w:sz w:val="24"/>
              </w:rPr>
            </w:pPr>
            <w:r>
              <w:rPr>
                <w:rFonts w:cs="Arial" w:ascii="Arial" w:hAnsi="Arial"/>
                <w:sz w:val="24"/>
              </w:rPr>
              <w:t>P.O. Box 1188, 3AC-1861</w:t>
            </w:r>
          </w:p>
          <w:p>
            <w:pPr>
              <w:pStyle w:val="Normal"/>
              <w:rPr>
                <w:rFonts w:ascii="Arial" w:hAnsi="Arial" w:cs="Arial"/>
                <w:sz w:val="24"/>
              </w:rPr>
            </w:pPr>
            <w:r>
              <w:rPr>
                <w:rFonts w:cs="Arial" w:ascii="Arial" w:hAnsi="Arial"/>
                <w:sz w:val="24"/>
              </w:rPr>
              <w:t>Houston, TX 77251-1188</w:t>
            </w:r>
          </w:p>
          <w:p>
            <w:pPr>
              <w:pStyle w:val="Normal"/>
              <w:rPr>
                <w:rFonts w:ascii="Arial" w:hAnsi="Arial" w:cs="Arial"/>
                <w:sz w:val="24"/>
              </w:rPr>
            </w:pPr>
            <w:r>
              <w:rPr>
                <w:rFonts w:cs="Arial" w:ascii="Arial" w:hAnsi="Arial"/>
                <w:sz w:val="24"/>
              </w:rPr>
              <w:t>Telephone: (713) 345-6785</w:t>
            </w:r>
          </w:p>
          <w:p>
            <w:pPr>
              <w:pStyle w:val="Normal"/>
              <w:rPr>
                <w:rFonts w:ascii="Arial" w:hAnsi="Arial" w:cs="Arial"/>
                <w:sz w:val="24"/>
              </w:rPr>
            </w:pPr>
            <w:r>
              <w:rPr>
                <w:rFonts w:cs="Arial" w:ascii="Arial" w:hAnsi="Arial"/>
                <w:sz w:val="24"/>
              </w:rPr>
              <w:t>Pager: (877) 689-6832</w:t>
            </w:r>
          </w:p>
          <w:p>
            <w:pPr>
              <w:pStyle w:val="Normal"/>
              <w:rPr>
                <w:rFonts w:ascii="Arial" w:hAnsi="Arial" w:cs="Arial"/>
                <w:sz w:val="24"/>
              </w:rPr>
            </w:pPr>
            <w:r>
              <w:rPr>
                <w:rFonts w:cs="Arial" w:ascii="Arial" w:hAnsi="Arial"/>
                <w:sz w:val="24"/>
              </w:rPr>
              <w:t xml:space="preserve">Email: </w:t>
            </w:r>
            <w:hyperlink r:id="rId3">
              <w:r>
                <w:rPr>
                  <w:rStyle w:val="Hyperlink"/>
                </w:rPr>
                <w:t>sharrell@enron.com</w:t>
              </w:r>
            </w:hyperlink>
          </w:p>
          <w:p>
            <w:pPr>
              <w:pStyle w:val="Normal"/>
              <w:rPr>
                <w:rFonts w:ascii="Arial" w:hAnsi="Arial" w:cs="Arial"/>
                <w:sz w:val="24"/>
              </w:rPr>
            </w:pPr>
            <w:r>
              <w:rPr>
                <w:rFonts w:cs="Arial" w:ascii="Arial" w:hAnsi="Arial"/>
                <w:sz w:val="24"/>
              </w:rPr>
              <w:t>Fax: (713) 646-8606</w:t>
            </w:r>
          </w:p>
        </w:tc>
        <w:tc>
          <w:tcPr>
            <w:tcW w:w="3870" w:type="dxa"/>
            <w:tcBorders/>
          </w:tcPr>
          <w:p>
            <w:pPr>
              <w:pStyle w:val="Normal"/>
              <w:rPr>
                <w:rFonts w:ascii="Arial" w:hAnsi="Arial" w:cs="Arial"/>
                <w:sz w:val="24"/>
              </w:rPr>
            </w:pPr>
            <w:r>
              <w:rPr>
                <w:rFonts w:cs="Arial" w:ascii="Arial" w:hAnsi="Arial"/>
                <w:sz w:val="24"/>
              </w:rPr>
              <w:t>Brad Snyder, Director</w:t>
            </w:r>
          </w:p>
          <w:p>
            <w:pPr>
              <w:pStyle w:val="Normal"/>
              <w:rPr>
                <w:rFonts w:ascii="Arial" w:hAnsi="Arial" w:cs="Arial"/>
                <w:sz w:val="24"/>
              </w:rPr>
            </w:pPr>
            <w:r>
              <w:rPr>
                <w:rFonts w:cs="Arial" w:ascii="Arial" w:hAnsi="Arial"/>
                <w:sz w:val="24"/>
              </w:rPr>
              <w:t>Enron Energy Services</w:t>
            </w:r>
          </w:p>
          <w:p>
            <w:pPr>
              <w:pStyle w:val="Normal"/>
              <w:rPr>
                <w:rFonts w:ascii="Arial" w:hAnsi="Arial" w:cs="Arial"/>
                <w:sz w:val="24"/>
              </w:rPr>
            </w:pPr>
            <w:r>
              <w:rPr>
                <w:rFonts w:cs="Arial" w:ascii="Arial" w:hAnsi="Arial"/>
                <w:sz w:val="24"/>
              </w:rPr>
              <w:t>P.O. Box 1188, 3AC-1861</w:t>
            </w:r>
          </w:p>
          <w:p>
            <w:pPr>
              <w:pStyle w:val="Normal"/>
              <w:rPr>
                <w:rFonts w:ascii="Arial" w:hAnsi="Arial" w:cs="Arial"/>
                <w:sz w:val="24"/>
              </w:rPr>
            </w:pPr>
            <w:r>
              <w:rPr>
                <w:rFonts w:cs="Arial" w:ascii="Arial" w:hAnsi="Arial"/>
                <w:sz w:val="24"/>
              </w:rPr>
              <w:t>Houston, TX 77251-1188</w:t>
            </w:r>
          </w:p>
          <w:p>
            <w:pPr>
              <w:pStyle w:val="Normal"/>
              <w:rPr>
                <w:rFonts w:ascii="Arial" w:hAnsi="Arial" w:cs="Arial"/>
                <w:sz w:val="24"/>
              </w:rPr>
            </w:pPr>
            <w:r>
              <w:rPr>
                <w:rFonts w:cs="Arial" w:ascii="Arial" w:hAnsi="Arial"/>
                <w:sz w:val="24"/>
              </w:rPr>
              <w:t>Telephone: (713) 345-6786</w:t>
            </w:r>
          </w:p>
          <w:p>
            <w:pPr>
              <w:pStyle w:val="Normal"/>
              <w:rPr>
                <w:rFonts w:ascii="Arial" w:hAnsi="Arial" w:cs="Arial"/>
                <w:sz w:val="24"/>
              </w:rPr>
            </w:pPr>
            <w:r>
              <w:rPr>
                <w:rFonts w:cs="Arial" w:ascii="Arial" w:hAnsi="Arial"/>
                <w:sz w:val="24"/>
              </w:rPr>
              <w:t>Pager: (888) 552-9947</w:t>
            </w:r>
          </w:p>
          <w:p>
            <w:pPr>
              <w:pStyle w:val="Normal"/>
              <w:rPr>
                <w:rFonts w:ascii="Arial" w:hAnsi="Arial" w:cs="Arial"/>
                <w:sz w:val="24"/>
              </w:rPr>
            </w:pPr>
            <w:r>
              <w:rPr>
                <w:rFonts w:cs="Arial" w:ascii="Arial" w:hAnsi="Arial"/>
                <w:sz w:val="24"/>
              </w:rPr>
              <w:t xml:space="preserve">Email: </w:t>
            </w:r>
            <w:hyperlink r:id="rId4">
              <w:r>
                <w:rPr>
                  <w:rStyle w:val="Hyperlink"/>
                </w:rPr>
                <w:t>bsnyder@enron.com</w:t>
              </w:r>
            </w:hyperlink>
          </w:p>
          <w:p>
            <w:pPr>
              <w:pStyle w:val="Normal"/>
              <w:rPr>
                <w:rFonts w:ascii="Arial" w:hAnsi="Arial" w:cs="Arial"/>
                <w:sz w:val="24"/>
              </w:rPr>
            </w:pPr>
            <w:r>
              <w:rPr>
                <w:rFonts w:cs="Arial" w:ascii="Arial" w:hAnsi="Arial"/>
                <w:sz w:val="24"/>
              </w:rPr>
              <w:t>Fax: (713) 646-8606</w:t>
            </w:r>
          </w:p>
        </w:tc>
      </w:tr>
    </w:tbl>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Heading3"/>
        <w:numPr>
          <w:ilvl w:val="0"/>
          <w:numId w:val="3"/>
        </w:numPr>
        <w:ind w:hanging="0" w:start="0"/>
        <w:rPr/>
      </w:pPr>
      <w:r>
        <w:rPr/>
        <w:t>Eligibility Criteria</w:t>
      </w:r>
    </w:p>
    <w:p>
      <w:pPr>
        <w:pStyle w:val="Normal"/>
        <w:rPr/>
      </w:pPr>
      <w:r>
        <w:rPr/>
      </w:r>
    </w:p>
    <w:p>
      <w:pPr>
        <w:pStyle w:val="BodyTextIndent"/>
        <w:rPr/>
      </w:pPr>
      <w:r>
        <w:rPr/>
        <w:t xml:space="preserve">Prospective suppliers are eligible or “qualified” to bid if they have on file with Enron Energy Services a Master Energy Purchase Agreement. The Master Purchase Agreement along with all transactional Retail Confirmations provides the general provisions for the sale and delivery of certain quantities of energy (see Exhibit-C. for a copy of the Form of Confirmation).  </w:t>
      </w:r>
    </w:p>
    <w:p>
      <w:pPr>
        <w:pStyle w:val="BodyTextIndent"/>
        <w:rPr/>
      </w:pPr>
      <w:r>
        <w:rPr/>
      </w:r>
    </w:p>
    <w:p>
      <w:pPr>
        <w:pStyle w:val="BodyTextIndent"/>
        <w:rPr/>
      </w:pPr>
      <w:r>
        <w:rPr/>
        <w:t xml:space="preserve">Suppliers not yet eligible to participate in this process but would like to bid for sites in future solicitations should contact Samuel Harrell or Brad Snyder for more information. </w:t>
      </w:r>
      <w:r>
        <w:br w:type="page"/>
      </w:r>
    </w:p>
    <w:p>
      <w:pPr>
        <w:pStyle w:val="Normal"/>
        <w:ind w:start="720" w:end="0"/>
        <w:rPr>
          <w:rFonts w:ascii="Arial" w:hAnsi="Arial" w:cs="Arial"/>
          <w:sz w:val="24"/>
        </w:rPr>
      </w:pPr>
      <w:r>
        <w:rPr>
          <w:rFonts w:cs="Arial" w:ascii="Arial" w:hAnsi="Arial"/>
          <w:sz w:val="24"/>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shd w:fill="D8D8D8" w:val="clear"/>
          </w:tcPr>
          <w:p>
            <w:pPr>
              <w:pStyle w:val="Heading3"/>
              <w:numPr>
                <w:ilvl w:val="0"/>
                <w:numId w:val="0"/>
              </w:numPr>
              <w:ind w:hanging="0" w:start="0"/>
              <w:rPr>
                <w:sz w:val="28"/>
              </w:rPr>
            </w:pPr>
            <w:r>
              <w:rPr>
                <w:sz w:val="28"/>
              </w:rPr>
              <w:t>II.  Administrative Information</w:t>
            </w:r>
          </w:p>
        </w:tc>
      </w:tr>
    </w:tbl>
    <w:p>
      <w:pPr>
        <w:pStyle w:val="Heading3"/>
        <w:numPr>
          <w:ilvl w:val="0"/>
          <w:numId w:val="0"/>
        </w:numPr>
        <w:ind w:hanging="0" w:start="0"/>
        <w:rPr/>
      </w:pPr>
      <w:r>
        <w:rPr/>
      </w:r>
    </w:p>
    <w:p>
      <w:pPr>
        <w:pStyle w:val="Heading3"/>
        <w:numPr>
          <w:ilvl w:val="0"/>
          <w:numId w:val="0"/>
        </w:numPr>
        <w:ind w:hanging="0" w:start="0"/>
        <w:rPr/>
      </w:pPr>
      <w:r>
        <w:rPr/>
        <w:t>A.</w:t>
        <w:tab/>
        <w:t>Confidentiality</w:t>
      </w:r>
    </w:p>
    <w:p>
      <w:pPr>
        <w:pStyle w:val="Normal"/>
        <w:rPr/>
      </w:pPr>
      <w:r>
        <w:rPr/>
      </w:r>
    </w:p>
    <w:p>
      <w:pPr>
        <w:pStyle w:val="Normal"/>
        <w:ind w:start="720" w:end="0"/>
        <w:rPr>
          <w:rFonts w:ascii="Arial" w:hAnsi="Arial" w:cs="Arial"/>
          <w:sz w:val="24"/>
        </w:rPr>
      </w:pPr>
      <w:r>
        <w:rPr>
          <w:rFonts w:cs="Arial" w:ascii="Arial" w:hAnsi="Arial"/>
          <w:sz w:val="24"/>
        </w:rPr>
        <w:t>Parties participating in or invited to this solicitation shall not disclose the terms or conditions of this process to a third party (other than the Party’s and its Affiliates’ employees, lenders, counsel, accountants or advisors who have a need to know such information and have agreed to keep such terms confidential) except in order to comply with any applicable law, order or exchange rule; provided, each Party shall notify the other party of any proceeding of which it is aware which may result in disclosure and use reasonable efforts to prevent or limit the disclosure.</w:t>
      </w:r>
    </w:p>
    <w:p>
      <w:pPr>
        <w:pStyle w:val="Normal"/>
        <w:ind w:start="720" w:end="0"/>
        <w:rPr>
          <w:rFonts w:ascii="Arial" w:hAnsi="Arial" w:cs="Arial"/>
          <w:sz w:val="24"/>
        </w:rPr>
      </w:pPr>
      <w:r>
        <w:rPr>
          <w:rFonts w:cs="Arial" w:ascii="Arial" w:hAnsi="Arial"/>
          <w:sz w:val="24"/>
        </w:rPr>
      </w:r>
    </w:p>
    <w:p>
      <w:pPr>
        <w:pStyle w:val="Heading4"/>
        <w:ind w:hanging="0" w:start="0"/>
        <w:rPr/>
      </w:pPr>
      <w:r>
        <w:rPr/>
        <w:t>B.</w:t>
        <w:tab/>
        <w:t>Customer Load Information</w:t>
      </w:r>
    </w:p>
    <w:p>
      <w:pPr>
        <w:pStyle w:val="Normal"/>
        <w:rPr>
          <w:rFonts w:ascii="Arial" w:hAnsi="Arial" w:cs="Arial"/>
          <w:b/>
          <w:sz w:val="24"/>
        </w:rPr>
      </w:pPr>
      <w:r>
        <w:rPr>
          <w:rFonts w:cs="Arial" w:ascii="Arial" w:hAnsi="Arial"/>
          <w:b/>
          <w:sz w:val="24"/>
        </w:rPr>
      </w:r>
    </w:p>
    <w:p>
      <w:pPr>
        <w:pStyle w:val="Normal"/>
        <w:ind w:start="720" w:end="0"/>
        <w:rPr/>
      </w:pPr>
      <w:r>
        <w:rPr>
          <w:rFonts w:cs="Arial" w:ascii="Arial" w:hAnsi="Arial"/>
          <w:sz w:val="24"/>
        </w:rPr>
        <w:t xml:space="preserve">Qualified suppliers will be able to access customer site and usage information through the </w:t>
      </w:r>
      <w:r>
        <w:rPr>
          <w:rFonts w:cs="Arial" w:ascii="Arial" w:hAnsi="Arial"/>
          <w:i/>
          <w:sz w:val="24"/>
        </w:rPr>
        <w:t>DealBench</w:t>
      </w:r>
      <w:r>
        <w:rPr>
          <w:rFonts w:cs="Arial" w:ascii="Arial" w:hAnsi="Arial"/>
          <w:sz w:val="24"/>
        </w:rPr>
        <w:t>™ web platform in order to develop pricing (see Attachment-I of this Notice for a list of the sites in each Pricing Block). Individual site information is listed in Pricing Blocks or allotments labeled A through G.</w:t>
      </w:r>
    </w:p>
    <w:p>
      <w:pPr>
        <w:pStyle w:val="Normal"/>
        <w:ind w:start="720" w:end="0"/>
        <w:rPr>
          <w:rFonts w:ascii="Arial" w:hAnsi="Arial" w:cs="Arial"/>
          <w:sz w:val="24"/>
        </w:rPr>
      </w:pPr>
      <w:r>
        <w:rPr>
          <w:rFonts w:cs="Arial" w:ascii="Arial" w:hAnsi="Arial"/>
          <w:sz w:val="24"/>
        </w:rPr>
      </w:r>
    </w:p>
    <w:p>
      <w:pPr>
        <w:pStyle w:val="Heading3"/>
        <w:numPr>
          <w:ilvl w:val="0"/>
          <w:numId w:val="0"/>
        </w:numPr>
        <w:ind w:hanging="0" w:start="0"/>
        <w:rPr/>
      </w:pPr>
      <w:r>
        <w:rPr/>
        <w:t>C.</w:t>
        <w:tab/>
        <w:t>Pricing Guidelines</w:t>
      </w:r>
    </w:p>
    <w:p>
      <w:pPr>
        <w:pStyle w:val="Normal"/>
        <w:rPr/>
      </w:pPr>
      <w:r>
        <w:rPr/>
      </w:r>
    </w:p>
    <w:p>
      <w:pPr>
        <w:pStyle w:val="BodyTextIndent"/>
        <w:rPr/>
      </w:pPr>
      <w:r>
        <w:rPr/>
        <w:t>“</w:t>
      </w:r>
      <w:r>
        <w:rPr/>
        <w:t>Qualified” pricing offers (bids) are defined as those meeting full energy requirements for such customers and facilities listed in Attachment I. Bids or the proposed “Contract Price” for each pricing block means the price in $U.S. to be paid by Buyer to Seller for the purchase of Energy, including the Energy Price, Transmission Charges and any other ancillary service charges, if any pursuant to a Transaction. Full Management Services is defined in the Table-I below, where applicable by the Electric Distribution Company.</w:t>
      </w:r>
    </w:p>
    <w:p>
      <w:pPr>
        <w:pStyle w:val="BodyTextIndent"/>
        <w:rPr/>
      </w:pPr>
      <w:r>
        <w:rPr/>
      </w:r>
    </w:p>
    <w:p>
      <w:pPr>
        <w:pStyle w:val="BodyTextIndent"/>
        <w:rPr/>
      </w:pPr>
      <w:r>
        <w:rPr/>
        <w:t>Table-I: Full Management Service</w:t>
      </w:r>
    </w:p>
    <w:tbl>
      <w:tblPr>
        <w:tblW w:w="7740" w:type="dxa"/>
        <w:jc w:val="start"/>
        <w:tblInd w:w="828" w:type="dxa"/>
        <w:tblLayout w:type="fixed"/>
        <w:tblCellMar>
          <w:top w:w="0" w:type="dxa"/>
          <w:start w:w="108" w:type="dxa"/>
          <w:bottom w:w="0" w:type="dxa"/>
          <w:end w:w="108" w:type="dxa"/>
        </w:tblCellMar>
      </w:tblPr>
      <w:tblGrid>
        <w:gridCol w:w="3960"/>
        <w:gridCol w:w="3780"/>
      </w:tblGrid>
      <w:tr>
        <w:trPr/>
        <w:tc>
          <w:tcPr>
            <w:tcW w:w="396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Generation</w:t>
            </w:r>
          </w:p>
        </w:tc>
        <w:tc>
          <w:tcPr>
            <w:tcW w:w="378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Energy Imbalance</w:t>
            </w:r>
          </w:p>
        </w:tc>
      </w:tr>
      <w:tr>
        <w:trPr/>
        <w:tc>
          <w:tcPr>
            <w:tcW w:w="396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Transmission</w:t>
            </w:r>
          </w:p>
        </w:tc>
        <w:tc>
          <w:tcPr>
            <w:tcW w:w="378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Transmission Losses</w:t>
            </w:r>
          </w:p>
        </w:tc>
      </w:tr>
      <w:tr>
        <w:trPr/>
        <w:tc>
          <w:tcPr>
            <w:tcW w:w="396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Scheduling, System Control and Dispatch</w:t>
            </w:r>
          </w:p>
        </w:tc>
        <w:tc>
          <w:tcPr>
            <w:tcW w:w="378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Black-Start Capabilities</w:t>
            </w:r>
          </w:p>
        </w:tc>
      </w:tr>
      <w:tr>
        <w:trPr/>
        <w:tc>
          <w:tcPr>
            <w:tcW w:w="396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Regulation Service or Frequency Control</w:t>
            </w:r>
          </w:p>
        </w:tc>
        <w:tc>
          <w:tcPr>
            <w:tcW w:w="378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Spinning and Non-Spinning Reserves</w:t>
            </w:r>
          </w:p>
        </w:tc>
      </w:tr>
      <w:tr>
        <w:trPr/>
        <w:tc>
          <w:tcPr>
            <w:tcW w:w="396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Reactive Supply and Voltage Control</w:t>
            </w:r>
          </w:p>
        </w:tc>
        <w:tc>
          <w:tcPr>
            <w:tcW w:w="3780" w:type="dxa"/>
            <w:tcBorders>
              <w:top w:val="single" w:sz="4" w:space="0" w:color="000000"/>
              <w:start w:val="single" w:sz="4" w:space="0" w:color="000000"/>
              <w:bottom w:val="single" w:sz="4" w:space="0" w:color="000000"/>
              <w:end w:val="single" w:sz="4" w:space="0" w:color="000000"/>
            </w:tcBorders>
          </w:tcPr>
          <w:p>
            <w:pPr>
              <w:pStyle w:val="BodyTextIndent"/>
              <w:ind w:start="0" w:end="0"/>
              <w:rPr>
                <w:sz w:val="20"/>
              </w:rPr>
            </w:pPr>
            <w:r>
              <w:rPr>
                <w:sz w:val="20"/>
              </w:rPr>
              <w:t>Replacement Reserves</w:t>
            </w:r>
          </w:p>
        </w:tc>
      </w:tr>
    </w:tbl>
    <w:p>
      <w:pPr>
        <w:pStyle w:val="Normal"/>
        <w:rPr>
          <w:rFonts w:ascii="Arial" w:hAnsi="Arial" w:cs="Arial"/>
          <w:b/>
          <w:sz w:val="24"/>
        </w:rPr>
      </w:pPr>
      <w:r>
        <w:rPr>
          <w:rFonts w:cs="Arial" w:ascii="Arial" w:hAnsi="Arial"/>
          <w:b/>
          <w:sz w:val="24"/>
        </w:rPr>
      </w:r>
    </w:p>
    <w:p>
      <w:pPr>
        <w:pStyle w:val="Normal"/>
        <w:ind w:start="720" w:end="0"/>
        <w:rPr>
          <w:rFonts w:ascii="Arial" w:hAnsi="Arial" w:cs="Arial"/>
          <w:b/>
          <w:sz w:val="24"/>
        </w:rPr>
      </w:pPr>
      <w:r>
        <w:rPr>
          <w:rFonts w:cs="Arial" w:ascii="Arial" w:hAnsi="Arial"/>
          <w:sz w:val="24"/>
        </w:rPr>
        <w:t xml:space="preserve">Acceptable qualified offers will also be defined as firm or full energy requirements delivered to the Electric Distribution Company’s city-gate, distribution system, control area or other appropriate designation as specifically outlined to each utility. Prices should not include charges for such items as distribution, public programs, and taxes. Refer to the contact persons on this solicitation for further information and clarification for pricing if necessary. </w:t>
      </w:r>
      <w:r>
        <w:br w:type="page"/>
      </w:r>
    </w:p>
    <w:p>
      <w:pPr>
        <w:pStyle w:val="Normal"/>
        <w:ind w:start="720" w:end="0"/>
        <w:rPr>
          <w:rFonts w:ascii="Arial" w:hAnsi="Arial" w:cs="Arial"/>
          <w:b/>
          <w:sz w:val="28"/>
        </w:rPr>
      </w:pPr>
      <w:r>
        <w:rPr>
          <w:rFonts w:cs="Arial" w:ascii="Arial" w:hAnsi="Arial"/>
          <w:b/>
          <w:sz w:val="28"/>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shd w:fill="D8D8D8" w:val="clear"/>
          </w:tcPr>
          <w:p>
            <w:pPr>
              <w:pStyle w:val="Heading5"/>
              <w:ind w:hanging="0" w:start="0"/>
              <w:rPr/>
            </w:pPr>
            <w:r>
              <w:rPr/>
              <w:t>III. Bid Process</w:t>
            </w:r>
          </w:p>
        </w:tc>
      </w:tr>
    </w:tbl>
    <w:p>
      <w:pPr>
        <w:pStyle w:val="Normal"/>
        <w:rPr>
          <w:rFonts w:ascii="Arial" w:hAnsi="Arial" w:cs="Arial"/>
          <w:b/>
          <w:sz w:val="28"/>
        </w:rPr>
      </w:pPr>
      <w:r>
        <w:rPr>
          <w:rFonts w:cs="Arial" w:ascii="Arial" w:hAnsi="Arial"/>
          <w:b/>
          <w:sz w:val="28"/>
        </w:rPr>
      </w:r>
    </w:p>
    <w:p>
      <w:pPr>
        <w:pStyle w:val="Heading3"/>
        <w:numPr>
          <w:ilvl w:val="0"/>
          <w:numId w:val="0"/>
        </w:numPr>
        <w:ind w:hanging="0" w:start="0"/>
        <w:rPr/>
      </w:pPr>
      <w:r>
        <w:rPr/>
        <w:t>A.</w:t>
        <w:tab/>
        <w:t>Bid Evaluation and Notice</w:t>
      </w:r>
    </w:p>
    <w:p>
      <w:pPr>
        <w:pStyle w:val="Normal"/>
        <w:rPr>
          <w:rFonts w:ascii="Arial" w:hAnsi="Arial" w:cs="Arial"/>
          <w:b/>
          <w:sz w:val="24"/>
        </w:rPr>
      </w:pPr>
      <w:r>
        <w:rPr>
          <w:rFonts w:cs="Arial" w:ascii="Arial" w:hAnsi="Arial"/>
          <w:b/>
          <w:sz w:val="24"/>
        </w:rPr>
      </w:r>
    </w:p>
    <w:p>
      <w:pPr>
        <w:pStyle w:val="BodyTextIndent"/>
        <w:rPr/>
      </w:pPr>
      <w:r>
        <w:rPr/>
        <w:t xml:space="preserve">Enron Energy Services is not responsible for any costs associated with bid preparation. Whether a qualified bid wins or loses in the solicitation will depend only on the lowest cents/kWh price submitted for each Pricing Block (see Attachment-I.) This is a “Sealed Bid” Solicitation and pricing information will NOT be shared among suppliers. </w:t>
      </w:r>
    </w:p>
    <w:p>
      <w:pPr>
        <w:pStyle w:val="BodyTextIndent"/>
        <w:rPr/>
      </w:pPr>
      <w:r>
        <w:rPr/>
      </w:r>
    </w:p>
    <w:p>
      <w:pPr>
        <w:pStyle w:val="BodyTextIndent"/>
        <w:rPr>
          <w:b/>
        </w:rPr>
      </w:pPr>
      <w:r>
        <w:rPr>
          <w:b/>
        </w:rPr>
        <w:t>This Notice of Solicitation provides three (3) options for suppliers to submit bids for each Pricing Block.</w:t>
      </w:r>
    </w:p>
    <w:p>
      <w:pPr>
        <w:pStyle w:val="BodyTextIndent"/>
        <w:rPr>
          <w:b/>
        </w:rPr>
      </w:pPr>
      <w:r>
        <w:rPr>
          <w:b/>
        </w:rPr>
      </w:r>
    </w:p>
    <w:p>
      <w:pPr>
        <w:pStyle w:val="BodyTextIndent"/>
        <w:numPr>
          <w:ilvl w:val="0"/>
          <w:numId w:val="2"/>
        </w:numPr>
        <w:rPr/>
      </w:pPr>
      <w:r>
        <w:rPr/>
        <w:t>Cents/kWh for three year term</w:t>
      </w:r>
    </w:p>
    <w:p>
      <w:pPr>
        <w:pStyle w:val="BodyTextIndent"/>
        <w:numPr>
          <w:ilvl w:val="0"/>
          <w:numId w:val="2"/>
        </w:numPr>
        <w:rPr/>
      </w:pPr>
      <w:r>
        <w:rPr/>
        <w:t>Cents/kWh for five year term</w:t>
      </w:r>
    </w:p>
    <w:p>
      <w:pPr>
        <w:pStyle w:val="BodyTextIndent"/>
        <w:numPr>
          <w:ilvl w:val="0"/>
          <w:numId w:val="2"/>
        </w:numPr>
        <w:rPr/>
      </w:pPr>
      <w:r>
        <w:rPr/>
        <w:t>Cents/kWh with Supplier designated term</w:t>
      </w:r>
    </w:p>
    <w:p>
      <w:pPr>
        <w:pStyle w:val="BodyTextIndent"/>
        <w:rPr/>
      </w:pPr>
      <w:r>
        <w:rPr/>
      </w:r>
    </w:p>
    <w:p>
      <w:pPr>
        <w:pStyle w:val="BodyTextIndent"/>
        <w:rPr/>
      </w:pPr>
      <w:r>
        <w:rPr/>
        <w:t xml:space="preserve">Any bid may be amended or retracted prior to the bid due date by submitting a revised bid or retraction notification via </w:t>
      </w:r>
      <w:r>
        <w:rPr>
          <w:i/>
        </w:rPr>
        <w:t>DealBench</w:t>
      </w:r>
      <w:r>
        <w:rPr/>
        <w:t>™.  Bidders will have an opportunity to “improve” their bid with a price adjustment or other alteration of their bid characteristics. If received on time, Enron Energy Services will evaluate the revised bid, or remove a retracted bid from consideration.</w:t>
      </w:r>
    </w:p>
    <w:p>
      <w:pPr>
        <w:pStyle w:val="BodyTextIndent"/>
        <w:rPr/>
      </w:pPr>
      <w:r>
        <w:rPr/>
      </w:r>
    </w:p>
    <w:p>
      <w:pPr>
        <w:pStyle w:val="BodyTextIndent"/>
        <w:rPr/>
      </w:pPr>
      <w:r>
        <w:rPr/>
        <w:t>After the solicitation due date (bid due date), all bids received on time will be evaluated to determine the best price offer. Only those bids that include the mandatory information as described above in Section II-C will be considered for acceptance.</w:t>
      </w:r>
    </w:p>
    <w:p>
      <w:pPr>
        <w:pStyle w:val="BodyTextIndent"/>
        <w:rPr/>
      </w:pPr>
      <w:r>
        <w:rPr/>
      </w:r>
    </w:p>
    <w:p>
      <w:pPr>
        <w:pStyle w:val="BodyTextIndent"/>
        <w:rPr/>
      </w:pPr>
      <w:r>
        <w:rPr/>
        <w:t xml:space="preserve">Results of the solicitation will be announced according to the date identified in the Notice of Award schedule. Unsuccessful bidders in this solicitation will be provided with written notification that their proposed bids were not acceptable, and the reason or reasons for nonacceptance of their bids (bids could be determined ineligible, or incomplete, or rejected because of lack of information as describe in Section II-C.) </w:t>
      </w:r>
    </w:p>
    <w:p>
      <w:pPr>
        <w:pStyle w:val="BodyTextIndent"/>
        <w:rPr/>
      </w:pPr>
      <w:r>
        <w:rPr/>
      </w:r>
    </w:p>
    <w:p>
      <w:pPr>
        <w:pStyle w:val="BodyTextIndent"/>
        <w:numPr>
          <w:ilvl w:val="0"/>
          <w:numId w:val="4"/>
        </w:numPr>
        <w:rPr>
          <w:b/>
        </w:rPr>
      </w:pPr>
      <w:r>
        <w:rPr>
          <w:b/>
        </w:rPr>
        <w:t>Subsequent Solicitations</w:t>
      </w:r>
    </w:p>
    <w:p>
      <w:pPr>
        <w:pStyle w:val="BodyTextIndent"/>
        <w:rPr>
          <w:b/>
        </w:rPr>
      </w:pPr>
      <w:r>
        <w:rPr>
          <w:b/>
        </w:rPr>
      </w:r>
    </w:p>
    <w:p>
      <w:pPr>
        <w:pStyle w:val="BodyTextIndent"/>
        <w:rPr/>
      </w:pPr>
      <w:r>
        <w:rPr/>
        <w:t xml:space="preserve">Losing bidders from the Phase I – Lot I, Solicitation may participate with the same or a similar bid in any subsequent bids that are held, provided that they meet the eligibility criteria established for those bids. Future solicitations will be identified with a phase and lot marker with additional customers and facilities on each occurrence.  Refer to </w:t>
      </w:r>
      <w:r>
        <w:rPr>
          <w:i/>
        </w:rPr>
        <w:t>DealBench</w:t>
      </w:r>
      <w:r>
        <w:rPr/>
        <w:t>™ for updates and notices on upcoming solicitations or contact persons listed on this solicitation for further information.</w:t>
      </w:r>
    </w:p>
    <w:p>
      <w:pPr>
        <w:pStyle w:val="BodyTextIndent"/>
        <w:rPr/>
      </w:pPr>
      <w:r>
        <w:rPr/>
      </w:r>
    </w:p>
    <w:p>
      <w:pPr>
        <w:pStyle w:val="BodyTextIndent"/>
        <w:numPr>
          <w:ilvl w:val="0"/>
          <w:numId w:val="4"/>
        </w:numPr>
        <w:rPr>
          <w:b/>
        </w:rPr>
      </w:pPr>
      <w:r>
        <w:rPr>
          <w:b/>
        </w:rPr>
        <w:t>Supplier Feedback</w:t>
      </w:r>
    </w:p>
    <w:p>
      <w:pPr>
        <w:pStyle w:val="BodyTextIndent"/>
        <w:rPr>
          <w:b/>
        </w:rPr>
      </w:pPr>
      <w:r>
        <w:rPr>
          <w:b/>
        </w:rPr>
      </w:r>
    </w:p>
    <w:p>
      <w:pPr>
        <w:pStyle w:val="BodyTextIndent"/>
        <w:rPr/>
      </w:pPr>
      <w:r>
        <w:rPr/>
        <w:t xml:space="preserve">Enron Energy Services appreciates the effort of our third party supply partners. Combined, our efforts together will help bring real choice to customer nationwide. Your insight and experience in retail markets is very important to the success of this endeavor. In order for us to bring value to you as a participant in this process, we ask that you provide feedback to us about this solicitation. What works for you? What doesn’t work? How can we make the next round better? </w:t>
      </w:r>
    </w:p>
    <w:p>
      <w:pPr>
        <w:pStyle w:val="BodyTextIndent"/>
        <w:rPr/>
      </w:pPr>
      <w:r>
        <w:rPr/>
      </w:r>
    </w:p>
    <w:p>
      <w:pPr>
        <w:pStyle w:val="BodyTextIndent"/>
        <w:rPr/>
      </w:pPr>
      <w:r>
        <w:rPr/>
        <w:t xml:space="preserve">All questions or concerns should be directed to Samuel Harrell or Brad Snyder. Thanks in advance for your participation.  </w:t>
      </w:r>
    </w:p>
    <w:p>
      <w:pPr>
        <w:pStyle w:val="BodyTextIndent"/>
        <w:rPr>
          <w:b/>
        </w:rPr>
      </w:pPr>
      <w:r>
        <w:rPr>
          <w:b/>
        </w:rPr>
      </w:r>
      <w:r>
        <w:br w:type="page"/>
      </w:r>
    </w:p>
    <w:p>
      <w:pPr>
        <w:pStyle w:val="Normal"/>
        <w:rPr>
          <w:rFonts w:ascii="Arial" w:hAnsi="Arial" w:cs="Arial"/>
          <w:b/>
          <w:sz w:val="18"/>
          <w:u w:val="single"/>
        </w:rPr>
      </w:pPr>
      <w:r>
        <w:rPr>
          <w:rFonts w:cs="Arial" w:ascii="Arial" w:hAnsi="Arial"/>
          <w:b/>
          <w:sz w:val="18"/>
          <w:u w:val="single"/>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shd w:fill="D8D8D8" w:val="clear"/>
          </w:tcPr>
          <w:p>
            <w:pPr>
              <w:pStyle w:val="Normal"/>
              <w:rPr>
                <w:rFonts w:ascii="Arial" w:hAnsi="Arial" w:cs="Arial"/>
                <w:b/>
                <w:sz w:val="18"/>
              </w:rPr>
            </w:pPr>
            <w:r>
              <w:rPr>
                <w:rFonts w:cs="Arial" w:ascii="Arial" w:hAnsi="Arial"/>
                <w:b/>
                <w:sz w:val="18"/>
              </w:rPr>
              <w:t>EXHIBIT "C" to MASTER ENERGY PURCHASE AGREEMENT</w:t>
            </w:r>
          </w:p>
        </w:tc>
      </w:tr>
    </w:tbl>
    <w:p>
      <w:pPr>
        <w:pStyle w:val="Normal"/>
        <w:rPr>
          <w:rFonts w:ascii="Arial" w:hAnsi="Arial" w:cs="Arial"/>
          <w:sz w:val="18"/>
        </w:rPr>
      </w:pPr>
      <w:r>
        <w:rPr>
          <w:rFonts w:cs="Arial" w:ascii="Arial" w:hAnsi="Arial"/>
          <w:sz w:val="18"/>
        </w:rPr>
      </w:r>
    </w:p>
    <w:p>
      <w:pPr>
        <w:pStyle w:val="Heading8"/>
        <w:ind w:hanging="0" w:start="0"/>
        <w:rPr/>
      </w:pPr>
      <w:r>
        <w:rPr/>
        <w:t>FORM OF CONFIRMATION</w:t>
      </w:r>
    </w:p>
    <w:p>
      <w:pPr>
        <w:pStyle w:val="Heading8"/>
        <w:ind w:hanging="0" w:start="0"/>
        <w:rPr/>
      </w:pPr>
      <w:r>
        <w:rPr/>
        <w:t>FULL MANAGEMENT SERVICES</w:t>
      </w:r>
    </w:p>
    <w:p>
      <w:pPr>
        <w:pStyle w:val="Heading8"/>
        <w:ind w:hanging="0" w:start="0"/>
        <w:rPr/>
      </w:pPr>
      <w:r>
        <w:rPr/>
        <w:t>(</w:t>
      </w:r>
      <w:r>
        <w:rPr>
          <w:sz w:val="14"/>
        </w:rPr>
        <w:t>MASTER ENERGY PURCHASE AGREEMENT GOVERNS)</w:t>
      </w:r>
    </w:p>
    <w:p>
      <w:pPr>
        <w:pStyle w:val="Normal"/>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[Date]</w:t>
      </w:r>
    </w:p>
    <w:p>
      <w:pPr>
        <w:pStyle w:val="Normal"/>
        <w:rPr>
          <w:rFonts w:ascii="Arial" w:hAnsi="Arial" w:cs="Arial"/>
          <w:sz w:val="18"/>
        </w:rPr>
      </w:pPr>
      <w:r>
        <w:rPr>
          <w:rFonts w:cs="Arial" w:ascii="Arial" w:hAnsi="Arial"/>
          <w:sz w:val="18"/>
        </w:rPr>
        <w:t>[__________</w:t>
      </w:r>
    </w:p>
    <w:p>
      <w:pPr>
        <w:pStyle w:val="Normal"/>
        <w:rPr>
          <w:rFonts w:ascii="Arial" w:hAnsi="Arial" w:cs="Arial"/>
          <w:sz w:val="18"/>
        </w:rPr>
      </w:pPr>
      <w:r>
        <w:rPr>
          <w:rFonts w:cs="Arial" w:ascii="Arial" w:hAnsi="Arial"/>
          <w:sz w:val="18"/>
        </w:rPr>
        <w:t>__________</w:t>
      </w:r>
    </w:p>
    <w:p>
      <w:pPr>
        <w:pStyle w:val="Normal"/>
        <w:rPr>
          <w:rFonts w:ascii="Arial" w:hAnsi="Arial" w:cs="Arial"/>
          <w:sz w:val="18"/>
        </w:rPr>
      </w:pPr>
      <w:r>
        <w:rPr>
          <w:rFonts w:cs="Arial" w:ascii="Arial" w:hAnsi="Arial"/>
          <w:sz w:val="18"/>
        </w:rPr>
        <w:t>__________]</w:t>
      </w:r>
    </w:p>
    <w:p>
      <w:pPr>
        <w:pStyle w:val="Normal"/>
        <w:rPr>
          <w:rFonts w:ascii="Arial" w:hAnsi="Arial" w:cs="Arial"/>
          <w:sz w:val="18"/>
        </w:rPr>
      </w:pPr>
      <w:r>
        <w:rPr>
          <w:rFonts w:cs="Arial" w:ascii="Arial" w:hAnsi="Arial"/>
          <w:sz w:val="18"/>
        </w:rPr>
      </w:r>
    </w:p>
    <w:p>
      <w:pPr>
        <w:pStyle w:val="Heading8"/>
        <w:ind w:hanging="0" w:start="0"/>
        <w:rPr/>
      </w:pPr>
      <w:r>
        <w:rPr/>
        <w:t>FULLY MANAGED CONFIRMATION</w:t>
      </w:r>
    </w:p>
    <w:p>
      <w:pPr>
        <w:pStyle w:val="Normal"/>
        <w:rPr>
          <w:rFonts w:ascii="Arial" w:hAnsi="Arial" w:cs="Arial"/>
          <w:sz w:val="18"/>
        </w:rPr>
      </w:pPr>
      <w:r>
        <w:rPr>
          <w:rFonts w:cs="Arial" w:ascii="Arial" w:hAnsi="Arial"/>
          <w:sz w:val="18"/>
        </w:rPr>
      </w:r>
    </w:p>
    <w:p>
      <w:pPr>
        <w:pStyle w:val="Normal"/>
        <w:rPr/>
      </w:pPr>
      <w:r>
        <w:rPr>
          <w:rFonts w:cs="Arial" w:ascii="Arial" w:hAnsi="Arial"/>
          <w:sz w:val="18"/>
        </w:rPr>
        <w:t>This Fully Managed Confirmation shall confirm the Transaction reached on _________________, 2001, between _____________________ ("</w:t>
      </w:r>
      <w:r>
        <w:rPr>
          <w:rFonts w:cs="Arial" w:ascii="Arial" w:hAnsi="Arial"/>
          <w:sz w:val="18"/>
          <w:u w:val="single"/>
        </w:rPr>
        <w:t>Seller</w:t>
      </w:r>
      <w:r>
        <w:rPr>
          <w:rFonts w:cs="Arial" w:ascii="Arial" w:hAnsi="Arial"/>
          <w:sz w:val="18"/>
        </w:rPr>
        <w:t xml:space="preserve">") and </w:t>
      </w:r>
      <w:r>
        <w:rPr>
          <w:rFonts w:cs="Arial" w:ascii="Arial" w:hAnsi="Arial"/>
          <w:b/>
          <w:sz w:val="18"/>
        </w:rPr>
        <w:t>Enron Energy Services, Inc.</w:t>
      </w:r>
      <w:r>
        <w:rPr>
          <w:rFonts w:cs="Arial" w:ascii="Arial" w:hAnsi="Arial"/>
          <w:sz w:val="18"/>
        </w:rPr>
        <w:t xml:space="preserve"> ("</w:t>
      </w:r>
      <w:r>
        <w:rPr>
          <w:rFonts w:cs="Arial" w:ascii="Arial" w:hAnsi="Arial"/>
          <w:sz w:val="18"/>
          <w:u w:val="single"/>
        </w:rPr>
        <w:t>Buyer</w:t>
      </w:r>
      <w:r>
        <w:rPr>
          <w:rFonts w:cs="Arial" w:ascii="Arial" w:hAnsi="Arial"/>
          <w:sz w:val="18"/>
        </w:rPr>
        <w:t>") regarding the purchase of Energy under the terms and conditions of the Master Energy Purchase Agreement dated _________________, 2001 (the "</w:t>
      </w:r>
      <w:r>
        <w:rPr>
          <w:rFonts w:cs="Arial" w:ascii="Arial" w:hAnsi="Arial"/>
          <w:sz w:val="18"/>
          <w:u w:val="single"/>
        </w:rPr>
        <w:t>Agreement</w:t>
      </w:r>
      <w:r>
        <w:rPr>
          <w:rFonts w:cs="Arial" w:ascii="Arial" w:hAnsi="Arial"/>
          <w:sz w:val="18"/>
        </w:rPr>
        <w:t>").  Capitalized terms used herein but not defined have the same meanings ascribed to them in the Agreement.</w:t>
      </w:r>
    </w:p>
    <w:p>
      <w:pPr>
        <w:pStyle w:val="Normal"/>
        <w:rPr>
          <w:rFonts w:ascii="Arial" w:hAnsi="Arial" w:cs="Arial"/>
          <w:sz w:val="18"/>
        </w:rPr>
      </w:pPr>
      <w:r>
        <w:rPr>
          <w:rFonts w:cs="Arial" w:ascii="Arial" w:hAnsi="Arial"/>
          <w:sz w:val="18"/>
        </w:rPr>
      </w:r>
    </w:p>
    <w:tbl>
      <w:tblPr>
        <w:tblW w:w="9270" w:type="dxa"/>
        <w:jc w:val="start"/>
        <w:tblInd w:w="558" w:type="dxa"/>
        <w:tblLayout w:type="fixed"/>
        <w:tblCellMar>
          <w:top w:w="0" w:type="dxa"/>
          <w:start w:w="108" w:type="dxa"/>
          <w:bottom w:w="0" w:type="dxa"/>
          <w:end w:w="108" w:type="dxa"/>
        </w:tblCellMar>
      </w:tblPr>
      <w:tblGrid>
        <w:gridCol w:w="2880"/>
        <w:gridCol w:w="6390"/>
      </w:tblGrid>
      <w:tr>
        <w:trPr/>
        <w:tc>
          <w:tcPr>
            <w:tcW w:w="2880" w:type="dxa"/>
            <w:tcBorders/>
          </w:tcPr>
          <w:p>
            <w:pPr>
              <w:pStyle w:val="Normal"/>
              <w:rPr>
                <w:rFonts w:ascii="Arial" w:hAnsi="Arial" w:cs="Arial"/>
                <w:b/>
                <w:sz w:val="18"/>
              </w:rPr>
            </w:pPr>
            <w:r>
              <w:rPr>
                <w:rFonts w:cs="Arial" w:ascii="Arial" w:hAnsi="Arial"/>
                <w:b/>
                <w:sz w:val="18"/>
              </w:rPr>
              <w:t>Contract Quantity:</w:t>
            </w:r>
          </w:p>
        </w:tc>
        <w:tc>
          <w:tcPr>
            <w:tcW w:w="6390" w:type="dxa"/>
            <w:tcBorders/>
          </w:tcPr>
          <w:p>
            <w:pPr>
              <w:pStyle w:val="Normal"/>
              <w:rPr/>
            </w:pPr>
            <w:r>
              <w:rPr>
                <w:rFonts w:cs="Arial" w:ascii="Arial" w:hAnsi="Arial"/>
                <w:sz w:val="18"/>
              </w:rPr>
              <w:t>Full Energy requirements of certain end users under contract with Buyer (each an "</w:t>
            </w:r>
            <w:r>
              <w:rPr>
                <w:rFonts w:cs="Arial" w:ascii="Arial" w:hAnsi="Arial"/>
                <w:sz w:val="18"/>
                <w:u w:val="single"/>
              </w:rPr>
              <w:t>End User</w:t>
            </w:r>
            <w:r>
              <w:rPr>
                <w:rFonts w:cs="Arial" w:ascii="Arial" w:hAnsi="Arial"/>
                <w:sz w:val="18"/>
              </w:rPr>
              <w:t>") as identified on Schedule 1.  The facilities of each such End User shall be defined as the "</w:t>
            </w:r>
            <w:r>
              <w:rPr>
                <w:rFonts w:cs="Arial" w:ascii="Arial" w:hAnsi="Arial"/>
                <w:sz w:val="18"/>
                <w:u w:val="single"/>
              </w:rPr>
              <w:t>End User Facility(ies)</w:t>
            </w:r>
            <w:r>
              <w:rPr>
                <w:rFonts w:cs="Arial" w:ascii="Arial" w:hAnsi="Arial"/>
                <w:sz w:val="18"/>
              </w:rPr>
              <w:t>."</w:t>
            </w:r>
          </w:p>
        </w:tc>
      </w:tr>
      <w:tr>
        <w:trPr/>
        <w:tc>
          <w:tcPr>
            <w:tcW w:w="2880" w:type="dxa"/>
            <w:tcBorders/>
          </w:tcPr>
          <w:p>
            <w:pPr>
              <w:pStyle w:val="Normal"/>
              <w:snapToGrid w:val="false"/>
              <w:rPr>
                <w:rFonts w:ascii="Arial" w:hAnsi="Arial" w:cs="Arial"/>
                <w:sz w:val="18"/>
              </w:rPr>
            </w:pPr>
            <w:r>
              <w:rPr>
                <w:rFonts w:cs="Arial" w:ascii="Arial" w:hAnsi="Arial"/>
                <w:sz w:val="18"/>
              </w:rPr>
            </w:r>
          </w:p>
        </w:tc>
        <w:tc>
          <w:tcPr>
            <w:tcW w:w="6390" w:type="dxa"/>
            <w:tcBorders/>
          </w:tcPr>
          <w:p>
            <w:pPr>
              <w:pStyle w:val="Normal"/>
              <w:snapToGrid w:val="false"/>
              <w:rPr>
                <w:rFonts w:ascii="Arial" w:hAnsi="Arial" w:cs="Arial"/>
                <w:sz w:val="18"/>
              </w:rPr>
            </w:pPr>
            <w:r>
              <w:rPr>
                <w:rFonts w:cs="Arial" w:ascii="Arial" w:hAnsi="Arial"/>
                <w:sz w:val="18"/>
              </w:rPr>
            </w:r>
          </w:p>
        </w:tc>
      </w:tr>
      <w:tr>
        <w:trPr/>
        <w:tc>
          <w:tcPr>
            <w:tcW w:w="2880" w:type="dxa"/>
            <w:tcBorders/>
          </w:tcPr>
          <w:p>
            <w:pPr>
              <w:pStyle w:val="Normal"/>
              <w:rPr>
                <w:rFonts w:ascii="Arial" w:hAnsi="Arial" w:cs="Arial"/>
                <w:b/>
                <w:sz w:val="18"/>
              </w:rPr>
            </w:pPr>
            <w:r>
              <w:rPr>
                <w:rFonts w:cs="Arial" w:ascii="Arial" w:hAnsi="Arial"/>
                <w:b/>
                <w:sz w:val="18"/>
              </w:rPr>
              <w:t>Full Management Services:</w:t>
            </w:r>
          </w:p>
        </w:tc>
        <w:tc>
          <w:tcPr>
            <w:tcW w:w="6390" w:type="dxa"/>
            <w:tcBorders/>
          </w:tcPr>
          <w:p>
            <w:pPr>
              <w:pStyle w:val="Normal"/>
              <w:rPr/>
            </w:pPr>
            <w:r>
              <w:rPr>
                <w:rFonts w:cs="Arial" w:ascii="Arial" w:hAnsi="Arial"/>
                <w:b/>
                <w:sz w:val="18"/>
              </w:rPr>
              <w:t>Seller:</w:t>
            </w:r>
            <w:r>
              <w:rPr>
                <w:rFonts w:cs="Arial" w:ascii="Arial" w:hAnsi="Arial"/>
                <w:sz w:val="18"/>
              </w:rPr>
              <w:t xml:space="preserve">  Seller shall perform the following services on behalf of the End Users for the End User Facilities identified on </w:t>
            </w:r>
            <w:r>
              <w:rPr>
                <w:rFonts w:cs="Arial" w:ascii="Arial" w:hAnsi="Arial"/>
                <w:sz w:val="18"/>
                <w:u w:val="single"/>
              </w:rPr>
              <w:t>Schedule 1</w:t>
            </w:r>
            <w:r>
              <w:rPr>
                <w:rFonts w:cs="Arial" w:ascii="Arial" w:hAnsi="Arial"/>
                <w:sz w:val="18"/>
              </w:rPr>
              <w:t>.  Seller shall 1) nominate on a firm basis the Contract Quantity set forth above on each End User's behalf and make all necessary scheduling arrangements with each End User's utility and all Transmission Providers; and 2) monitor each End Users' Energy usage and adjust nominations as necessary.</w:t>
            </w:r>
          </w:p>
          <w:p>
            <w:pPr>
              <w:pStyle w:val="Normal"/>
              <w:rPr/>
            </w:pPr>
            <w:r>
              <w:rPr>
                <w:rFonts w:cs="Arial" w:ascii="Arial" w:hAnsi="Arial"/>
                <w:b/>
                <w:sz w:val="18"/>
              </w:rPr>
              <w:t>Buyer:</w:t>
            </w:r>
            <w:r>
              <w:rPr>
                <w:rFonts w:cs="Arial" w:ascii="Arial" w:hAnsi="Arial"/>
                <w:sz w:val="18"/>
              </w:rPr>
              <w:t xml:space="preserve">  Buyer will 1) arrange for Seller to receive all reasonably requested information regarding each End User's Energy usage, through metering or otherwise; and 2) promptly advise Seller of any change in any End User's Facility operations that may impact any End User Facility's historic monthly Energy usage (as normalized for weather) by more than 25% as compared to the End User Facility's consumption for the corresponding calendar month in the preceding year ("</w:t>
            </w:r>
            <w:r>
              <w:rPr>
                <w:rFonts w:cs="Arial" w:ascii="Arial" w:hAnsi="Arial"/>
                <w:sz w:val="18"/>
                <w:u w:val="single"/>
              </w:rPr>
              <w:t>Material Change</w:t>
            </w:r>
            <w:r>
              <w:rPr>
                <w:rFonts w:cs="Arial" w:ascii="Arial" w:hAnsi="Arial"/>
                <w:sz w:val="18"/>
              </w:rPr>
              <w:t xml:space="preserve">").  </w:t>
            </w:r>
            <w:r>
              <w:rPr>
                <w:rFonts w:cs="Arial" w:ascii="Arial" w:hAnsi="Arial"/>
                <w:b/>
                <w:sz w:val="18"/>
              </w:rPr>
              <w:t>Penalties:</w:t>
            </w:r>
            <w:r>
              <w:rPr>
                <w:rFonts w:cs="Arial" w:ascii="Arial" w:hAnsi="Arial"/>
                <w:sz w:val="18"/>
              </w:rPr>
              <w:t xml:space="preserve">  If Buyer properly advises Seller of any Material Changes and properly arranges for Seller to obtain requested Energy usage information, Seller will pay all penalties imposed by any End User's utility and any excess Energy costs Buyer or End User incurs in excess of the Contract Price.  If Buyer fails to properly advise Seller of a Material Change or fails to arrange for Seller to obtain requested usage information, Buyer shall pay all penalties imposed by any End User's utility, related to the delivery of or failure to delivery Energy to the End User, resulting from such failure.</w:t>
            </w:r>
          </w:p>
        </w:tc>
      </w:tr>
      <w:tr>
        <w:trPr/>
        <w:tc>
          <w:tcPr>
            <w:tcW w:w="2880" w:type="dxa"/>
            <w:tcBorders/>
          </w:tcPr>
          <w:p>
            <w:pPr>
              <w:pStyle w:val="Normal"/>
              <w:snapToGrid w:val="false"/>
              <w:rPr>
                <w:rFonts w:ascii="Arial" w:hAnsi="Arial" w:cs="Arial"/>
                <w:sz w:val="18"/>
              </w:rPr>
            </w:pPr>
            <w:r>
              <w:rPr>
                <w:rFonts w:cs="Arial" w:ascii="Arial" w:hAnsi="Arial"/>
                <w:sz w:val="18"/>
              </w:rPr>
            </w:r>
          </w:p>
        </w:tc>
        <w:tc>
          <w:tcPr>
            <w:tcW w:w="6390" w:type="dxa"/>
            <w:tcBorders/>
          </w:tcPr>
          <w:p>
            <w:pPr>
              <w:pStyle w:val="Normal"/>
              <w:snapToGrid w:val="false"/>
              <w:rPr>
                <w:rFonts w:ascii="Arial" w:hAnsi="Arial" w:cs="Arial"/>
                <w:sz w:val="18"/>
              </w:rPr>
            </w:pPr>
            <w:r>
              <w:rPr>
                <w:rFonts w:cs="Arial" w:ascii="Arial" w:hAnsi="Arial"/>
                <w:sz w:val="18"/>
              </w:rPr>
            </w:r>
          </w:p>
        </w:tc>
      </w:tr>
      <w:tr>
        <w:trPr/>
        <w:tc>
          <w:tcPr>
            <w:tcW w:w="2880" w:type="dxa"/>
            <w:tcBorders/>
          </w:tcPr>
          <w:p>
            <w:pPr>
              <w:pStyle w:val="Normal"/>
              <w:rPr>
                <w:rFonts w:ascii="Arial" w:hAnsi="Arial" w:cs="Arial"/>
                <w:b/>
                <w:sz w:val="18"/>
              </w:rPr>
            </w:pPr>
            <w:r>
              <w:rPr>
                <w:rFonts w:cs="Arial" w:ascii="Arial" w:hAnsi="Arial"/>
                <w:b/>
                <w:sz w:val="18"/>
              </w:rPr>
              <w:t>Delivery Point:</w:t>
            </w:r>
          </w:p>
        </w:tc>
        <w:tc>
          <w:tcPr>
            <w:tcW w:w="6390" w:type="dxa"/>
            <w:tcBorders/>
          </w:tcPr>
          <w:p>
            <w:pPr>
              <w:pStyle w:val="Normal"/>
              <w:rPr>
                <w:rFonts w:ascii="Arial" w:hAnsi="Arial" w:cs="Arial"/>
                <w:sz w:val="18"/>
              </w:rPr>
            </w:pPr>
            <w:r>
              <w:rPr>
                <w:rFonts w:cs="Arial" w:ascii="Arial" w:hAnsi="Arial"/>
                <w:sz w:val="18"/>
              </w:rPr>
              <w:t>_______________________</w:t>
            </w:r>
          </w:p>
        </w:tc>
      </w:tr>
      <w:tr>
        <w:trPr/>
        <w:tc>
          <w:tcPr>
            <w:tcW w:w="2880" w:type="dxa"/>
            <w:tcBorders/>
          </w:tcPr>
          <w:p>
            <w:pPr>
              <w:pStyle w:val="Normal"/>
              <w:snapToGrid w:val="false"/>
              <w:rPr>
                <w:rFonts w:ascii="Arial" w:hAnsi="Arial" w:cs="Arial"/>
                <w:sz w:val="18"/>
              </w:rPr>
            </w:pPr>
            <w:r>
              <w:rPr>
                <w:rFonts w:cs="Arial" w:ascii="Arial" w:hAnsi="Arial"/>
                <w:sz w:val="18"/>
              </w:rPr>
            </w:r>
          </w:p>
        </w:tc>
        <w:tc>
          <w:tcPr>
            <w:tcW w:w="6390" w:type="dxa"/>
            <w:tcBorders/>
          </w:tcPr>
          <w:p>
            <w:pPr>
              <w:pStyle w:val="Normal"/>
              <w:snapToGrid w:val="false"/>
              <w:rPr>
                <w:rFonts w:ascii="Arial" w:hAnsi="Arial" w:cs="Arial"/>
                <w:sz w:val="18"/>
              </w:rPr>
            </w:pPr>
            <w:r>
              <w:rPr>
                <w:rFonts w:cs="Arial" w:ascii="Arial" w:hAnsi="Arial"/>
                <w:sz w:val="18"/>
              </w:rPr>
            </w:r>
          </w:p>
        </w:tc>
      </w:tr>
      <w:tr>
        <w:trPr/>
        <w:tc>
          <w:tcPr>
            <w:tcW w:w="2880" w:type="dxa"/>
            <w:tcBorders/>
          </w:tcPr>
          <w:p>
            <w:pPr>
              <w:pStyle w:val="Normal"/>
              <w:rPr>
                <w:rFonts w:ascii="Arial" w:hAnsi="Arial" w:cs="Arial"/>
                <w:b/>
                <w:sz w:val="18"/>
              </w:rPr>
            </w:pPr>
            <w:r>
              <w:rPr>
                <w:rFonts w:cs="Arial" w:ascii="Arial" w:hAnsi="Arial"/>
                <w:b/>
                <w:sz w:val="18"/>
              </w:rPr>
              <w:t>Contract Price:</w:t>
            </w:r>
          </w:p>
        </w:tc>
        <w:tc>
          <w:tcPr>
            <w:tcW w:w="6390" w:type="dxa"/>
            <w:tcBorders/>
          </w:tcPr>
          <w:p>
            <w:pPr>
              <w:pStyle w:val="Normal"/>
              <w:rPr>
                <w:rFonts w:ascii="Arial" w:hAnsi="Arial" w:cs="Arial"/>
                <w:sz w:val="18"/>
              </w:rPr>
            </w:pPr>
            <w:r>
              <w:rPr>
                <w:rFonts w:cs="Arial" w:ascii="Arial" w:hAnsi="Arial"/>
                <w:sz w:val="18"/>
              </w:rPr>
              <w:t>$__________/MWh</w:t>
            </w:r>
          </w:p>
        </w:tc>
      </w:tr>
      <w:tr>
        <w:trPr/>
        <w:tc>
          <w:tcPr>
            <w:tcW w:w="2880" w:type="dxa"/>
            <w:tcBorders/>
          </w:tcPr>
          <w:p>
            <w:pPr>
              <w:pStyle w:val="Normal"/>
              <w:snapToGrid w:val="false"/>
              <w:rPr>
                <w:rFonts w:ascii="Arial" w:hAnsi="Arial" w:cs="Arial"/>
                <w:b/>
                <w:sz w:val="18"/>
              </w:rPr>
            </w:pPr>
            <w:r>
              <w:rPr>
                <w:rFonts w:cs="Arial" w:ascii="Arial" w:hAnsi="Arial"/>
                <w:b/>
                <w:sz w:val="18"/>
              </w:rPr>
            </w:r>
          </w:p>
        </w:tc>
        <w:tc>
          <w:tcPr>
            <w:tcW w:w="6390" w:type="dxa"/>
            <w:tcBorders/>
          </w:tcPr>
          <w:p>
            <w:pPr>
              <w:pStyle w:val="Normal"/>
              <w:snapToGrid w:val="false"/>
              <w:rPr>
                <w:rFonts w:ascii="Arial" w:hAnsi="Arial" w:cs="Arial"/>
                <w:b/>
                <w:sz w:val="18"/>
              </w:rPr>
            </w:pPr>
            <w:r>
              <w:rPr>
                <w:rFonts w:cs="Arial" w:ascii="Arial" w:hAnsi="Arial"/>
                <w:b/>
                <w:sz w:val="18"/>
              </w:rPr>
            </w:r>
          </w:p>
        </w:tc>
      </w:tr>
      <w:tr>
        <w:trPr/>
        <w:tc>
          <w:tcPr>
            <w:tcW w:w="2880" w:type="dxa"/>
            <w:tcBorders/>
          </w:tcPr>
          <w:p>
            <w:pPr>
              <w:pStyle w:val="Normal"/>
              <w:rPr>
                <w:rFonts w:ascii="Arial" w:hAnsi="Arial" w:cs="Arial"/>
                <w:b/>
                <w:sz w:val="18"/>
              </w:rPr>
            </w:pPr>
            <w:r>
              <w:rPr>
                <w:rFonts w:cs="Arial" w:ascii="Arial" w:hAnsi="Arial"/>
                <w:b/>
                <w:sz w:val="18"/>
              </w:rPr>
              <w:t>Period of Delivery:</w:t>
            </w:r>
          </w:p>
        </w:tc>
        <w:tc>
          <w:tcPr>
            <w:tcW w:w="6390" w:type="dxa"/>
            <w:tcBorders/>
          </w:tcPr>
          <w:p>
            <w:pPr>
              <w:pStyle w:val="Normal"/>
              <w:rPr>
                <w:rFonts w:ascii="Arial" w:hAnsi="Arial" w:cs="Arial"/>
                <w:sz w:val="18"/>
              </w:rPr>
            </w:pPr>
            <w:r>
              <w:rPr>
                <w:rFonts w:cs="Arial" w:ascii="Arial" w:hAnsi="Arial"/>
                <w:sz w:val="18"/>
              </w:rPr>
              <w:t>_______________________</w:t>
            </w:r>
          </w:p>
        </w:tc>
      </w:tr>
      <w:tr>
        <w:trPr/>
        <w:tc>
          <w:tcPr>
            <w:tcW w:w="2880" w:type="dxa"/>
            <w:tcBorders/>
          </w:tcPr>
          <w:p>
            <w:pPr>
              <w:pStyle w:val="Normal"/>
              <w:snapToGrid w:val="false"/>
              <w:rPr>
                <w:rFonts w:ascii="Arial" w:hAnsi="Arial" w:cs="Arial"/>
                <w:b/>
                <w:sz w:val="18"/>
              </w:rPr>
            </w:pPr>
            <w:r>
              <w:rPr>
                <w:rFonts w:cs="Arial" w:ascii="Arial" w:hAnsi="Arial"/>
                <w:b/>
                <w:sz w:val="18"/>
              </w:rPr>
            </w:r>
          </w:p>
        </w:tc>
        <w:tc>
          <w:tcPr>
            <w:tcW w:w="6390" w:type="dxa"/>
            <w:tcBorders/>
          </w:tcPr>
          <w:p>
            <w:pPr>
              <w:pStyle w:val="Normal"/>
              <w:snapToGrid w:val="false"/>
              <w:rPr>
                <w:rFonts w:ascii="Arial" w:hAnsi="Arial" w:cs="Arial"/>
                <w:b/>
                <w:sz w:val="18"/>
              </w:rPr>
            </w:pPr>
            <w:r>
              <w:rPr>
                <w:rFonts w:cs="Arial" w:ascii="Arial" w:hAnsi="Arial"/>
                <w:b/>
                <w:sz w:val="18"/>
              </w:rPr>
            </w:r>
          </w:p>
        </w:tc>
      </w:tr>
      <w:tr>
        <w:trPr/>
        <w:tc>
          <w:tcPr>
            <w:tcW w:w="2880" w:type="dxa"/>
            <w:tcBorders/>
          </w:tcPr>
          <w:p>
            <w:pPr>
              <w:pStyle w:val="Normal"/>
              <w:rPr>
                <w:rFonts w:ascii="Arial" w:hAnsi="Arial" w:cs="Arial"/>
                <w:b/>
                <w:sz w:val="18"/>
              </w:rPr>
            </w:pPr>
            <w:r>
              <w:rPr>
                <w:rFonts w:cs="Arial" w:ascii="Arial" w:hAnsi="Arial"/>
                <w:b/>
                <w:sz w:val="18"/>
              </w:rPr>
              <w:t>Notices and Payment:</w:t>
            </w:r>
          </w:p>
        </w:tc>
        <w:tc>
          <w:tcPr>
            <w:tcW w:w="6390" w:type="dxa"/>
            <w:tcBorders/>
          </w:tcPr>
          <w:p>
            <w:pPr>
              <w:pStyle w:val="Normal"/>
              <w:snapToGrid w:val="false"/>
              <w:rPr>
                <w:rFonts w:ascii="Arial" w:hAnsi="Arial" w:cs="Arial"/>
                <w:b/>
                <w:sz w:val="18"/>
              </w:rPr>
            </w:pPr>
            <w:r>
              <w:rPr>
                <w:rFonts w:cs="Arial" w:ascii="Arial" w:hAnsi="Arial"/>
                <w:b/>
                <w:sz w:val="18"/>
              </w:rPr>
            </w:r>
          </w:p>
        </w:tc>
      </w:tr>
    </w:tbl>
    <w:p>
      <w:pPr>
        <w:pStyle w:val="Normal"/>
        <w:rPr>
          <w:rFonts w:ascii="Arial" w:hAnsi="Arial" w:cs="Arial"/>
          <w:sz w:val="18"/>
        </w:rPr>
      </w:pPr>
      <w:r>
        <w:rPr>
          <w:rFonts w:cs="Arial" w:ascii="Arial" w:hAnsi="Arial"/>
          <w:sz w:val="18"/>
        </w:rPr>
      </w:r>
    </w:p>
    <w:p>
      <w:pPr>
        <w:pStyle w:val="Normal"/>
        <w:tabs>
          <w:tab w:val="clear" w:pos="720"/>
          <w:tab w:val="left" w:pos="4320" w:leader="none"/>
          <w:tab w:val="left" w:pos="7560" w:leader="none"/>
        </w:tabs>
        <w:spacing w:before="0" w:after="120"/>
        <w:ind w:start="446" w:end="0"/>
        <w:rPr>
          <w:rFonts w:ascii="Arial" w:hAnsi="Arial" w:cs="Arial"/>
          <w:sz w:val="18"/>
          <w:u w:val="single"/>
        </w:rPr>
      </w:pPr>
      <w:r>
        <w:rPr>
          <w:rFonts w:cs="Arial" w:ascii="Arial" w:hAnsi="Arial"/>
          <w:sz w:val="18"/>
          <w:u w:val="single"/>
        </w:rPr>
        <w:t>Notices &amp; Correspondence:</w:t>
        <w:tab/>
        <w:t>Payments:</w:t>
        <w:tab/>
        <w:t>Invoices:</w:t>
      </w:r>
    </w:p>
    <w:p>
      <w:pPr>
        <w:pStyle w:val="Normal"/>
        <w:tabs>
          <w:tab w:val="clear" w:pos="720"/>
          <w:tab w:val="left" w:pos="4320" w:leader="none"/>
          <w:tab w:val="left" w:pos="7560" w:leader="none"/>
        </w:tabs>
        <w:ind w:start="450" w:end="0"/>
        <w:rPr/>
      </w:pPr>
      <w:r>
        <w:rPr>
          <w:rFonts w:cs="Arial" w:ascii="Arial" w:hAnsi="Arial"/>
          <w:b/>
          <w:sz w:val="18"/>
        </w:rPr>
        <w:t>Buyer</w:t>
      </w:r>
      <w:r>
        <w:rPr>
          <w:rFonts w:cs="Arial" w:ascii="Arial" w:hAnsi="Arial"/>
          <w:sz w:val="18"/>
        </w:rPr>
        <w:t>:</w:t>
      </w:r>
    </w:p>
    <w:p>
      <w:pPr>
        <w:pStyle w:val="Normal"/>
        <w:tabs>
          <w:tab w:val="clear" w:pos="720"/>
          <w:tab w:val="left" w:pos="4320" w:leader="none"/>
          <w:tab w:val="left" w:pos="7560" w:leader="none"/>
        </w:tabs>
        <w:ind w:start="450" w:end="0"/>
        <w:rPr>
          <w:rFonts w:ascii="Arial" w:hAnsi="Arial" w:cs="Arial"/>
          <w:sz w:val="18"/>
        </w:rPr>
      </w:pPr>
      <w:r>
        <w:rPr>
          <w:rFonts w:cs="Arial" w:ascii="Arial" w:hAnsi="Arial"/>
          <w:sz w:val="18"/>
        </w:rPr>
        <w:t>Enron Energy Services, Inc.</w:t>
        <w:tab/>
        <w:t>Bank of America</w:t>
        <w:tab/>
        <w:t>Enron Energy Services, Inc.</w:t>
      </w:r>
    </w:p>
    <w:p>
      <w:pPr>
        <w:pStyle w:val="Normal"/>
        <w:tabs>
          <w:tab w:val="clear" w:pos="720"/>
          <w:tab w:val="left" w:pos="4320" w:leader="none"/>
          <w:tab w:val="left" w:pos="7560" w:leader="none"/>
        </w:tabs>
        <w:ind w:start="450" w:end="0"/>
        <w:rPr>
          <w:rFonts w:ascii="Arial" w:hAnsi="Arial" w:cs="Arial"/>
          <w:sz w:val="18"/>
        </w:rPr>
      </w:pPr>
      <w:r>
        <w:rPr>
          <w:rFonts w:cs="Arial" w:ascii="Arial" w:hAnsi="Arial"/>
          <w:sz w:val="18"/>
        </w:rPr>
        <w:t>P. O. Box 1188</w:t>
        <w:tab/>
        <w:t>for:  Enron Energy Services, Inc.</w:t>
        <w:tab/>
        <w:t>P. O. Box 1188</w:t>
      </w:r>
    </w:p>
    <w:p>
      <w:pPr>
        <w:pStyle w:val="Normal"/>
        <w:tabs>
          <w:tab w:val="clear" w:pos="720"/>
          <w:tab w:val="left" w:pos="4320" w:leader="none"/>
          <w:tab w:val="left" w:pos="7560" w:leader="none"/>
        </w:tabs>
        <w:ind w:start="450" w:end="0"/>
        <w:rPr>
          <w:rFonts w:ascii="Arial" w:hAnsi="Arial" w:cs="Arial"/>
          <w:sz w:val="18"/>
        </w:rPr>
      </w:pPr>
      <w:r>
        <w:rPr>
          <w:rFonts w:cs="Arial" w:ascii="Arial" w:hAnsi="Arial"/>
          <w:sz w:val="18"/>
        </w:rPr>
        <w:t>Houston, TX  77251-1188</w:t>
        <w:tab/>
        <w:t>ABA No.:  111000012</w:t>
        <w:tab/>
        <w:t>Houston, TX  77251-1188</w:t>
      </w:r>
    </w:p>
    <w:p>
      <w:pPr>
        <w:pStyle w:val="Normal"/>
        <w:tabs>
          <w:tab w:val="clear" w:pos="720"/>
          <w:tab w:val="left" w:pos="4320" w:leader="none"/>
          <w:tab w:val="left" w:pos="7560" w:leader="none"/>
        </w:tabs>
        <w:ind w:start="450" w:end="0"/>
        <w:rPr>
          <w:rFonts w:ascii="Arial" w:hAnsi="Arial" w:cs="Arial"/>
          <w:sz w:val="18"/>
        </w:rPr>
      </w:pPr>
      <w:r>
        <w:rPr>
          <w:rFonts w:cs="Arial" w:ascii="Arial" w:hAnsi="Arial"/>
          <w:sz w:val="18"/>
        </w:rPr>
        <w:t>Attn:  Contract Administration</w:t>
        <w:tab/>
        <w:t>Account No.:  3751257727</w:t>
        <w:tab/>
        <w:t>Attn:  __________________</w:t>
      </w:r>
    </w:p>
    <w:p>
      <w:pPr>
        <w:pStyle w:val="Normal"/>
        <w:tabs>
          <w:tab w:val="clear" w:pos="720"/>
          <w:tab w:val="left" w:pos="4320" w:leader="none"/>
          <w:tab w:val="left" w:pos="7560" w:leader="none"/>
        </w:tabs>
        <w:ind w:start="450" w:end="0"/>
        <w:rPr>
          <w:rFonts w:ascii="Arial" w:hAnsi="Arial" w:cs="Arial"/>
          <w:sz w:val="18"/>
        </w:rPr>
      </w:pPr>
      <w:r>
        <w:rPr>
          <w:rFonts w:cs="Arial" w:ascii="Arial" w:hAnsi="Arial"/>
          <w:sz w:val="18"/>
        </w:rPr>
        <w:t>Facsimile No.:  713.853.0528</w:t>
        <w:tab/>
        <w:tab/>
        <w:t>Facsimile No.:  __________</w:t>
      </w:r>
    </w:p>
    <w:p>
      <w:pPr>
        <w:pStyle w:val="Normal"/>
        <w:tabs>
          <w:tab w:val="clear" w:pos="720"/>
          <w:tab w:val="left" w:pos="4320" w:leader="none"/>
          <w:tab w:val="left" w:pos="7560" w:leader="none"/>
        </w:tabs>
        <w:ind w:start="450" w:end="0"/>
        <w:rPr>
          <w:rFonts w:ascii="Arial" w:hAnsi="Arial" w:cs="Arial"/>
          <w:sz w:val="18"/>
        </w:rPr>
      </w:pPr>
      <w:r>
        <w:rPr>
          <w:rFonts w:cs="Arial" w:ascii="Arial" w:hAnsi="Arial"/>
          <w:sz w:val="18"/>
        </w:rPr>
      </w:r>
    </w:p>
    <w:p>
      <w:pPr>
        <w:pStyle w:val="Normal"/>
        <w:tabs>
          <w:tab w:val="clear" w:pos="720"/>
          <w:tab w:val="left" w:pos="4320" w:leader="none"/>
          <w:tab w:val="left" w:pos="7560" w:leader="none"/>
        </w:tabs>
        <w:ind w:start="450" w:end="0"/>
        <w:rPr/>
      </w:pPr>
      <w:r>
        <w:rPr>
          <w:rFonts w:cs="Arial" w:ascii="Arial" w:hAnsi="Arial"/>
          <w:b/>
          <w:sz w:val="18"/>
        </w:rPr>
        <w:t>Seller</w:t>
      </w:r>
      <w:r>
        <w:rPr>
          <w:rFonts w:cs="Arial" w:ascii="Arial" w:hAnsi="Arial"/>
          <w:sz w:val="18"/>
        </w:rPr>
        <w:t>:</w:t>
      </w:r>
    </w:p>
    <w:p>
      <w:pPr>
        <w:pStyle w:val="Normal"/>
        <w:tabs>
          <w:tab w:val="clear" w:pos="720"/>
          <w:tab w:val="left" w:pos="4320" w:leader="none"/>
          <w:tab w:val="left" w:pos="7560" w:leader="none"/>
        </w:tabs>
        <w:ind w:start="450" w:end="0"/>
        <w:rPr>
          <w:rFonts w:ascii="Arial" w:hAnsi="Arial" w:cs="Arial"/>
          <w:sz w:val="18"/>
        </w:rPr>
      </w:pPr>
      <w:r>
        <w:rPr>
          <w:rFonts w:cs="Arial" w:ascii="Arial" w:hAnsi="Arial"/>
          <w:sz w:val="18"/>
        </w:rPr>
        <w:t>______________________</w:t>
        <w:tab/>
        <w:t>______________________</w:t>
        <w:tab/>
        <w:t>______________________</w:t>
      </w:r>
    </w:p>
    <w:p>
      <w:pPr>
        <w:pStyle w:val="Normal"/>
        <w:tabs>
          <w:tab w:val="clear" w:pos="720"/>
          <w:tab w:val="left" w:pos="4320" w:leader="none"/>
          <w:tab w:val="left" w:pos="7560" w:leader="none"/>
        </w:tabs>
        <w:ind w:start="450" w:end="0"/>
        <w:rPr>
          <w:rFonts w:ascii="Arial" w:hAnsi="Arial" w:cs="Arial"/>
          <w:sz w:val="18"/>
        </w:rPr>
      </w:pPr>
      <w:r>
        <w:rPr>
          <w:rFonts w:cs="Arial" w:ascii="Arial" w:hAnsi="Arial"/>
          <w:sz w:val="18"/>
        </w:rPr>
        <w:t>______________________</w:t>
        <w:tab/>
        <w:t>______________________</w:t>
        <w:tab/>
        <w:t>______________________</w:t>
      </w:r>
    </w:p>
    <w:p>
      <w:pPr>
        <w:pStyle w:val="Normal"/>
        <w:tabs>
          <w:tab w:val="clear" w:pos="720"/>
          <w:tab w:val="left" w:pos="4320" w:leader="none"/>
          <w:tab w:val="left" w:pos="7560" w:leader="none"/>
        </w:tabs>
        <w:ind w:start="450" w:end="0"/>
        <w:rPr/>
      </w:pPr>
      <w:r>
        <w:rPr/>
        <w:t>______________________</w:t>
        <w:tab/>
        <w:t>______________________</w:t>
        <w:tab/>
        <w:t>______________________</w:t>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shd w:fill="D8D8D8" w:val="clear"/>
          </w:tcPr>
          <w:p>
            <w:pPr>
              <w:pStyle w:val="Normal"/>
              <w:rPr>
                <w:rFonts w:ascii="Arial" w:hAnsi="Arial" w:cs="Arial"/>
                <w:sz w:val="18"/>
              </w:rPr>
            </w:pPr>
            <w:r>
              <w:rPr>
                <w:rFonts w:cs="Arial" w:ascii="Arial" w:hAnsi="Arial"/>
                <w:b/>
                <w:sz w:val="18"/>
              </w:rPr>
              <w:t>EXHIBIT "C" to MASTER ENERGY PURCHASE AGREEMENT (continued)</w:t>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pPr>
      <w:r>
        <w:rPr>
          <w:rFonts w:cs="Arial" w:ascii="Arial" w:hAnsi="Arial"/>
          <w:sz w:val="18"/>
        </w:rPr>
        <w:t>Please confirm that the terms stated herein accurately reflect the agreement reached between Buyer and Seller by returning an executed copy of this Confirmation by facsimile to Buyer at ____________________.  Your response should reflect the appropriate party in your organization who has the authority to enter into this Transaction, and should be received by Buyer no later than 5:00 P.M., Central Prevailing Time, on the first (1</w:t>
      </w:r>
      <w:r>
        <w:rPr>
          <w:rFonts w:cs="Arial" w:ascii="Arial" w:hAnsi="Arial"/>
          <w:sz w:val="18"/>
          <w:vertAlign w:val="superscript"/>
        </w:rPr>
        <w:t>st</w:t>
      </w:r>
      <w:r>
        <w:rPr>
          <w:rFonts w:cs="Arial" w:ascii="Arial" w:hAnsi="Arial"/>
          <w:sz w:val="18"/>
        </w:rPr>
        <w:t>) Business Day following the date first written above.  If you timely execute and return this Confirmation but fail to object in writing to the terms set forth in this Confirmation, or if you fail to timely return this Confirmation, the terms set forth in this Confirmation shall be deemed to have been accepted by you as written.  In the event you provide written objections to Buyer, the terms set forth in this Confirmation shall not be accepted and there will be no Transaction under the above Agreement pursuant to this Confirmation until mutually agreeable terms are reached.</w:t>
      </w:r>
    </w:p>
    <w:p>
      <w:pPr>
        <w:pStyle w:val="Normal"/>
        <w:rPr>
          <w:rFonts w:ascii="Arial" w:hAnsi="Arial" w:cs="Arial"/>
          <w:sz w:val="18"/>
        </w:rPr>
      </w:pPr>
      <w:r>
        <w:rPr>
          <w:rFonts w:cs="Arial" w:ascii="Arial" w:hAnsi="Arial"/>
          <w:sz w:val="18"/>
        </w:rPr>
      </w:r>
    </w:p>
    <w:p>
      <w:pPr>
        <w:pStyle w:val="Normal"/>
        <w:tabs>
          <w:tab w:val="clear" w:pos="720"/>
          <w:tab w:val="left" w:pos="3960" w:leader="none"/>
          <w:tab w:val="left" w:pos="5760" w:leader="none"/>
        </w:tabs>
        <w:rPr>
          <w:rFonts w:ascii="Arial" w:hAnsi="Arial" w:cs="Arial"/>
          <w:sz w:val="18"/>
        </w:rPr>
      </w:pPr>
      <w:r>
        <w:rPr>
          <w:rFonts w:cs="Arial" w:ascii="Arial" w:hAnsi="Arial"/>
          <w:b/>
          <w:sz w:val="18"/>
          <w:u w:val="single"/>
        </w:rPr>
        <w:tab/>
      </w:r>
      <w:r>
        <w:rPr>
          <w:rFonts w:cs="Arial" w:ascii="Arial" w:hAnsi="Arial"/>
          <w:b/>
          <w:sz w:val="18"/>
        </w:rPr>
        <w:tab/>
        <w:t>ENRON ENERGY SERVICES, INC.</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tabs>
          <w:tab w:val="clear" w:pos="720"/>
          <w:tab w:val="left" w:pos="3960" w:leader="none"/>
          <w:tab w:val="left" w:pos="5760" w:leader="none"/>
          <w:tab w:val="left" w:pos="9900" w:leader="none"/>
        </w:tabs>
        <w:spacing w:before="0" w:after="120"/>
        <w:rPr>
          <w:rFonts w:ascii="Arial" w:hAnsi="Arial" w:cs="Arial"/>
          <w:sz w:val="18"/>
        </w:rPr>
      </w:pPr>
      <w:r>
        <w:rPr>
          <w:rFonts w:cs="Arial" w:ascii="Arial" w:hAnsi="Arial"/>
          <w:sz w:val="18"/>
        </w:rPr>
        <w:t>By:</w:t>
      </w:r>
      <w:r>
        <w:rPr>
          <w:rFonts w:cs="Arial" w:ascii="Arial" w:hAnsi="Arial"/>
          <w:sz w:val="18"/>
          <w:u w:val="single"/>
        </w:rPr>
        <w:tab/>
      </w:r>
      <w:r>
        <w:rPr>
          <w:rFonts w:cs="Arial" w:ascii="Arial" w:hAnsi="Arial"/>
          <w:sz w:val="18"/>
        </w:rPr>
        <w:tab/>
        <w:t>By:</w:t>
      </w:r>
      <w:r>
        <w:rPr>
          <w:rFonts w:cs="Arial" w:ascii="Arial" w:hAnsi="Arial"/>
          <w:sz w:val="18"/>
          <w:u w:val="single"/>
        </w:rPr>
        <w:tab/>
      </w:r>
    </w:p>
    <w:p>
      <w:pPr>
        <w:pStyle w:val="Normal"/>
        <w:tabs>
          <w:tab w:val="clear" w:pos="720"/>
          <w:tab w:val="left" w:pos="3960" w:leader="none"/>
          <w:tab w:val="left" w:pos="5760" w:leader="none"/>
          <w:tab w:val="left" w:pos="9900" w:leader="none"/>
        </w:tabs>
        <w:spacing w:before="0" w:after="120"/>
        <w:rPr>
          <w:rFonts w:ascii="Arial" w:hAnsi="Arial" w:cs="Arial"/>
          <w:sz w:val="18"/>
        </w:rPr>
      </w:pPr>
      <w:r>
        <w:rPr>
          <w:rFonts w:cs="Arial" w:ascii="Arial" w:hAnsi="Arial"/>
          <w:sz w:val="18"/>
        </w:rPr>
        <w:t>Title:</w:t>
      </w:r>
      <w:r>
        <w:rPr>
          <w:rFonts w:cs="Arial" w:ascii="Arial" w:hAnsi="Arial"/>
          <w:sz w:val="18"/>
          <w:u w:val="single"/>
        </w:rPr>
        <w:tab/>
      </w:r>
      <w:r>
        <w:rPr>
          <w:rFonts w:cs="Arial" w:ascii="Arial" w:hAnsi="Arial"/>
          <w:sz w:val="18"/>
        </w:rPr>
        <w:tab/>
        <w:t>Title:</w:t>
      </w:r>
      <w:r>
        <w:rPr>
          <w:rFonts w:cs="Arial" w:ascii="Arial" w:hAnsi="Arial"/>
          <w:sz w:val="18"/>
          <w:u w:val="single"/>
        </w:rPr>
        <w:tab/>
      </w:r>
    </w:p>
    <w:p>
      <w:pPr>
        <w:pStyle w:val="Normal"/>
        <w:tabs>
          <w:tab w:val="clear" w:pos="720"/>
          <w:tab w:val="left" w:pos="3960" w:leader="none"/>
          <w:tab w:val="left" w:pos="5760" w:leader="none"/>
          <w:tab w:val="left" w:pos="9900" w:leader="none"/>
        </w:tabs>
        <w:rPr>
          <w:rFonts w:ascii="Arial" w:hAnsi="Arial" w:cs="Arial"/>
          <w:sz w:val="18"/>
        </w:rPr>
      </w:pPr>
      <w:r>
        <w:rPr>
          <w:rFonts w:cs="Arial" w:ascii="Arial" w:hAnsi="Arial"/>
          <w:sz w:val="18"/>
        </w:rPr>
        <w:t>Date:</w:t>
      </w:r>
      <w:r>
        <w:rPr>
          <w:rFonts w:cs="Arial" w:ascii="Arial" w:hAnsi="Arial"/>
          <w:sz w:val="18"/>
          <w:u w:val="single"/>
        </w:rPr>
        <w:tab/>
      </w:r>
      <w:r>
        <w:rPr>
          <w:rFonts w:cs="Arial" w:ascii="Arial" w:hAnsi="Arial"/>
          <w:sz w:val="18"/>
        </w:rPr>
        <w:tab/>
        <w:t>Date:</w:t>
      </w:r>
      <w:r>
        <w:rPr>
          <w:rFonts w:cs="Arial" w:ascii="Arial" w:hAnsi="Arial"/>
          <w:sz w:val="18"/>
          <w:u w:val="single"/>
        </w:rPr>
        <w:tab/>
      </w:r>
    </w:p>
    <w:p>
      <w:pPr>
        <w:sectPr>
          <w:footerReference w:type="default" r:id="rId5"/>
          <w:footerReference w:type="first" r:id="rId6"/>
          <w:type w:val="nextPage"/>
          <w:pgSz w:w="12240" w:h="15840"/>
          <w:pgMar w:left="1008" w:right="1008" w:gutter="0" w:header="0" w:top="1008" w:footer="720" w:bottom="1008"/>
          <w:pgNumType w:fmt="decimal"/>
          <w:formProt w:val="false"/>
          <w:titlePg/>
          <w:textDirection w:val="lrTb"/>
          <w:docGrid w:type="default" w:linePitch="360" w:charSpace="0"/>
        </w:sectPr>
        <w:pStyle w:val="Normal"/>
        <w:rPr>
          <w:rFonts w:ascii="Arial" w:hAnsi="Arial" w:cs="Arial"/>
          <w:sz w:val="18"/>
        </w:rPr>
      </w:pPr>
      <w:r>
        <w:rPr>
          <w:rFonts w:cs="Arial" w:ascii="Arial" w:hAnsi="Arial"/>
          <w:sz w:val="18"/>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shd w:fill="D8D8D8" w:val="clear"/>
          </w:tcPr>
          <w:p>
            <w:pPr>
              <w:pStyle w:val="Normal"/>
              <w:rPr>
                <w:rFonts w:ascii="Arial" w:hAnsi="Arial" w:cs="Arial"/>
                <w:b/>
                <w:sz w:val="18"/>
              </w:rPr>
            </w:pPr>
            <w:r>
              <w:rPr>
                <w:rFonts w:cs="Arial" w:ascii="Arial" w:hAnsi="Arial"/>
                <w:b/>
                <w:sz w:val="18"/>
              </w:rPr>
              <w:t>SCHEDULE 1 to MASTER ENERGY PURCHASE AGREEMENT</w:t>
            </w:r>
          </w:p>
        </w:tc>
      </w:tr>
    </w:tbl>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End User Facilities</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Name:  ___________________________</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List Facilities and Account Numbers:</w:t>
      </w:r>
    </w:p>
    <w:p>
      <w:pPr>
        <w:pStyle w:val="Normal"/>
        <w:rPr>
          <w:rFonts w:ascii="Arial" w:hAnsi="Arial" w:cs="Arial"/>
          <w:sz w:val="18"/>
        </w:rPr>
      </w:pPr>
      <w:r>
        <w:rPr>
          <w:rFonts w:cs="Arial" w:ascii="Arial" w:hAnsi="Arial"/>
          <w:sz w:val="18"/>
        </w:rPr>
      </w:r>
    </w:p>
    <w:p>
      <w:pPr>
        <w:pStyle w:val="BodyTextIndent"/>
        <w:rPr>
          <w:rFonts w:ascii="Arial" w:hAnsi="Arial" w:cs="Arial"/>
          <w:sz w:val="18"/>
          <w:u w:val="single"/>
        </w:rPr>
      </w:pPr>
      <w:r>
        <w:rPr>
          <w:rFonts w:cs="Arial"/>
          <w:sz w:val="18"/>
          <w:u w:val="single"/>
        </w:rPr>
      </w:r>
    </w:p>
    <w:p>
      <w:pPr>
        <w:pStyle w:val="Normal"/>
        <w:rPr/>
      </w:pPr>
      <w:r>
        <w:rPr>
          <w:rFonts w:cs="Arial" w:ascii="Arial" w:hAnsi="Arial"/>
          <w:u w:val="single"/>
        </w:rPr>
        <w:t>City and State</w:t>
      </w:r>
      <w:r>
        <w:rPr>
          <w:rFonts w:cs="Arial" w:ascii="Arial" w:hAnsi="Arial"/>
        </w:rPr>
        <w:tab/>
        <w:tab/>
        <w:tab/>
      </w:r>
      <w:r>
        <w:rPr>
          <w:rFonts w:cs="Arial" w:ascii="Arial" w:hAnsi="Arial"/>
          <w:u w:val="single"/>
        </w:rPr>
        <w:t>Account Number</w:t>
      </w:r>
      <w:r>
        <w:br w:type="page"/>
      </w:r>
    </w:p>
    <w:p>
      <w:pPr>
        <w:pStyle w:val="Normal"/>
        <w:rPr>
          <w:rFonts w:ascii="Arial" w:hAnsi="Arial" w:cs="Arial"/>
          <w:sz w:val="24"/>
          <w:u w:val="single"/>
        </w:rPr>
      </w:pPr>
      <w:r>
        <w:rPr>
          <w:rFonts w:cs="Arial" w:ascii="Arial" w:hAnsi="Arial"/>
          <w:sz w:val="24"/>
          <w:u w:val="single"/>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shd w:fill="D8D8D8" w:val="clear"/>
          </w:tcPr>
          <w:p>
            <w:pPr>
              <w:pStyle w:val="Heading4"/>
              <w:ind w:hanging="0" w:start="0"/>
              <w:rPr>
                <w:sz w:val="28"/>
              </w:rPr>
            </w:pPr>
            <w:r>
              <w:rPr>
                <w:sz w:val="28"/>
              </w:rPr>
              <w:t>Attachment I – Site List, Phase I – Lot I, Power</w:t>
            </w:r>
          </w:p>
        </w:tc>
      </w:tr>
    </w:tbl>
    <w:p>
      <w:pPr>
        <w:pStyle w:val="Normal"/>
        <w:rPr>
          <w:rFonts w:ascii="Arial" w:hAnsi="Arial" w:cs="Arial"/>
          <w:sz w:val="24"/>
        </w:rPr>
      </w:pPr>
      <w:r>
        <w:rPr>
          <w:rFonts w:cs="Arial" w:ascii="Arial" w:hAnsi="Arial"/>
          <w:sz w:val="24"/>
        </w:rPr>
      </w:r>
    </w:p>
    <w:tbl>
      <w:tblPr>
        <w:tblW w:w="8856" w:type="dxa"/>
        <w:jc w:val="start"/>
        <w:tblInd w:w="0" w:type="dxa"/>
        <w:tblLayout w:type="fixed"/>
        <w:tblCellMar>
          <w:top w:w="0" w:type="dxa"/>
          <w:start w:w="108" w:type="dxa"/>
          <w:bottom w:w="0" w:type="dxa"/>
          <w:end w:w="108" w:type="dxa"/>
        </w:tblCellMar>
      </w:tblPr>
      <w:tblGrid>
        <w:gridCol w:w="3798"/>
        <w:gridCol w:w="2520"/>
        <w:gridCol w:w="2538"/>
      </w:tblGrid>
      <w:tr>
        <w:trPr/>
        <w:tc>
          <w:tcPr>
            <w:tcW w:w="8856" w:type="dxa"/>
            <w:gridSpan w:val="3"/>
            <w:tcBorders/>
          </w:tcPr>
          <w:p>
            <w:pPr>
              <w:pStyle w:val="Heading4"/>
              <w:ind w:hanging="0" w:start="0"/>
              <w:rPr/>
            </w:pPr>
            <w:r>
              <w:rPr/>
              <w:t>Block A</w:t>
            </w:r>
          </w:p>
        </w:tc>
      </w:tr>
      <w:tr>
        <w:trPr/>
        <w:tc>
          <w:tcPr>
            <w:tcW w:w="3798"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bottom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Customer/Facility Information</w:t>
            </w:r>
          </w:p>
        </w:tc>
        <w:tc>
          <w:tcPr>
            <w:tcW w:w="2520"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Utility/Rate</w:t>
            </w:r>
          </w:p>
        </w:tc>
        <w:tc>
          <w:tcPr>
            <w:tcW w:w="253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Account Number</w:t>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Kendall-Tyco</w:t>
            </w:r>
          </w:p>
          <w:p>
            <w:pPr>
              <w:pStyle w:val="Normal"/>
              <w:rPr>
                <w:rFonts w:ascii="Arial" w:hAnsi="Arial" w:cs="Arial"/>
                <w:sz w:val="24"/>
              </w:rPr>
            </w:pPr>
            <w:r>
              <w:rPr>
                <w:rFonts w:cs="Arial" w:ascii="Arial" w:hAnsi="Arial"/>
                <w:sz w:val="24"/>
              </w:rPr>
              <w:t>50 Carnegie Plaza</w:t>
            </w:r>
          </w:p>
          <w:p>
            <w:pPr>
              <w:pStyle w:val="Normal"/>
              <w:rPr>
                <w:rFonts w:ascii="Arial" w:hAnsi="Arial" w:cs="Arial"/>
                <w:sz w:val="24"/>
              </w:rPr>
            </w:pPr>
            <w:r>
              <w:rPr>
                <w:rFonts w:cs="Arial" w:ascii="Arial" w:hAnsi="Arial"/>
                <w:sz w:val="24"/>
              </w:rPr>
              <w:t>Cherry Hill,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FTLV</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61-372-009-06</w:t>
            </w:r>
          </w:p>
          <w:p>
            <w:pPr>
              <w:pStyle w:val="Normal"/>
              <w:rPr>
                <w:rFonts w:ascii="Arial" w:hAnsi="Arial" w:cs="Arial"/>
                <w:sz w:val="24"/>
              </w:rPr>
            </w:pPr>
            <w:r>
              <w:rPr>
                <w:rFonts w:cs="Arial" w:ascii="Arial" w:hAnsi="Arial"/>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Ocean Spray</w:t>
            </w:r>
          </w:p>
          <w:p>
            <w:pPr>
              <w:pStyle w:val="Normal"/>
              <w:rPr>
                <w:rFonts w:ascii="Arial" w:hAnsi="Arial" w:cs="Arial"/>
                <w:sz w:val="24"/>
              </w:rPr>
            </w:pPr>
            <w:r>
              <w:rPr>
                <w:rFonts w:cs="Arial" w:ascii="Arial" w:hAnsi="Arial"/>
                <w:sz w:val="24"/>
              </w:rPr>
              <w:t>902 Park Street</w:t>
            </w:r>
          </w:p>
          <w:p>
            <w:pPr>
              <w:pStyle w:val="Normal"/>
              <w:rPr>
                <w:rFonts w:ascii="Arial" w:hAnsi="Arial" w:cs="Arial"/>
                <w:sz w:val="24"/>
              </w:rPr>
            </w:pPr>
            <w:r>
              <w:rPr>
                <w:rFonts w:cs="Arial" w:ascii="Arial" w:hAnsi="Arial"/>
                <w:sz w:val="24"/>
              </w:rPr>
              <w:t>Bordentown,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HTS</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62-659-981-53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Suiza</w:t>
            </w:r>
          </w:p>
          <w:p>
            <w:pPr>
              <w:pStyle w:val="Normal"/>
              <w:rPr>
                <w:rFonts w:ascii="Arial" w:hAnsi="Arial" w:cs="Arial"/>
                <w:sz w:val="24"/>
              </w:rPr>
            </w:pPr>
            <w:r>
              <w:rPr>
                <w:rFonts w:cs="Arial" w:ascii="Arial" w:hAnsi="Arial"/>
                <w:sz w:val="24"/>
              </w:rPr>
              <w:t>750 Union Av.</w:t>
            </w:r>
          </w:p>
          <w:p>
            <w:pPr>
              <w:pStyle w:val="Normal"/>
              <w:rPr>
                <w:rFonts w:ascii="Arial" w:hAnsi="Arial" w:cs="Arial"/>
                <w:sz w:val="24"/>
              </w:rPr>
            </w:pPr>
            <w:r>
              <w:rPr>
                <w:rFonts w:cs="Arial" w:ascii="Arial" w:hAnsi="Arial"/>
                <w:sz w:val="24"/>
              </w:rPr>
              <w:t>Union,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HTS</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51-708-956-74</w:t>
            </w:r>
          </w:p>
        </w:tc>
      </w:tr>
      <w:tr>
        <w:trPr/>
        <w:tc>
          <w:tcPr>
            <w:tcW w:w="3798"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Suiza</w:t>
            </w:r>
          </w:p>
          <w:p>
            <w:pPr>
              <w:pStyle w:val="Normal"/>
              <w:rPr>
                <w:rFonts w:ascii="Arial" w:hAnsi="Arial" w:cs="Arial"/>
                <w:sz w:val="24"/>
              </w:rPr>
            </w:pPr>
            <w:r>
              <w:rPr>
                <w:rFonts w:cs="Arial" w:ascii="Arial" w:hAnsi="Arial"/>
                <w:sz w:val="24"/>
              </w:rPr>
              <w:t>Cumberland St.</w:t>
            </w:r>
          </w:p>
          <w:p>
            <w:pPr>
              <w:pStyle w:val="Normal"/>
              <w:rPr>
                <w:rFonts w:ascii="Arial" w:hAnsi="Arial" w:cs="Arial"/>
                <w:sz w:val="24"/>
              </w:rPr>
            </w:pPr>
            <w:r>
              <w:rPr>
                <w:rFonts w:cs="Arial" w:ascii="Arial" w:hAnsi="Arial"/>
                <w:sz w:val="24"/>
              </w:rPr>
              <w:t>Florence, NJ</w:t>
            </w:r>
          </w:p>
        </w:tc>
        <w:tc>
          <w:tcPr>
            <w:tcW w:w="2520"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HTS</w:t>
            </w:r>
          </w:p>
        </w:tc>
        <w:tc>
          <w:tcPr>
            <w:tcW w:w="2538"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64-425-955-44</w:t>
            </w:r>
          </w:p>
        </w:tc>
      </w:tr>
      <w:tr>
        <w:trPr/>
        <w:tc>
          <w:tcPr>
            <w:tcW w:w="3798" w:type="dxa"/>
            <w:tcBorders>
              <w:top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top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top w:val="single" w:sz="4" w:space="0" w:color="000000"/>
            </w:tcBorders>
          </w:tcPr>
          <w:p>
            <w:pPr>
              <w:pStyle w:val="Normal"/>
              <w:snapToGrid w:val="false"/>
              <w:rPr>
                <w:rFonts w:ascii="Arial" w:hAnsi="Arial" w:cs="Arial"/>
                <w:sz w:val="24"/>
              </w:rPr>
            </w:pPr>
            <w:r>
              <w:rPr>
                <w:rFonts w:cs="Arial" w:ascii="Arial" w:hAnsi="Arial"/>
                <w:sz w:val="24"/>
              </w:rPr>
            </w:r>
          </w:p>
        </w:tc>
      </w:tr>
      <w:tr>
        <w:trPr/>
        <w:tc>
          <w:tcPr>
            <w:tcW w:w="8856" w:type="dxa"/>
            <w:gridSpan w:val="3"/>
            <w:tcBorders/>
          </w:tcPr>
          <w:p>
            <w:pPr>
              <w:pStyle w:val="Heading4"/>
              <w:ind w:hanging="0" w:start="0"/>
              <w:rPr/>
            </w:pPr>
            <w:r>
              <w:rPr/>
              <w:t>Block B</w:t>
            </w:r>
          </w:p>
        </w:tc>
      </w:tr>
      <w:tr>
        <w:trPr/>
        <w:tc>
          <w:tcPr>
            <w:tcW w:w="3798"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bottom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Customer/Facility Information</w:t>
            </w:r>
          </w:p>
        </w:tc>
        <w:tc>
          <w:tcPr>
            <w:tcW w:w="2520"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Utility/Rate</w:t>
            </w:r>
          </w:p>
        </w:tc>
        <w:tc>
          <w:tcPr>
            <w:tcW w:w="253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Account Number</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American National Can</w:t>
            </w:r>
          </w:p>
          <w:p>
            <w:pPr>
              <w:pStyle w:val="Normal"/>
              <w:rPr>
                <w:rFonts w:ascii="Arial" w:hAnsi="Arial" w:cs="Arial"/>
                <w:sz w:val="24"/>
              </w:rPr>
            </w:pPr>
            <w:r>
              <w:rPr>
                <w:rFonts w:cs="Arial" w:ascii="Arial" w:hAnsi="Arial"/>
                <w:sz w:val="24"/>
              </w:rPr>
              <w:t>Georges Rd.</w:t>
            </w:r>
          </w:p>
          <w:p>
            <w:pPr>
              <w:pStyle w:val="Normal"/>
              <w:rPr>
                <w:rFonts w:ascii="Arial" w:hAnsi="Arial" w:cs="Arial"/>
                <w:sz w:val="24"/>
              </w:rPr>
            </w:pPr>
            <w:r>
              <w:rPr>
                <w:rFonts w:cs="Arial" w:ascii="Arial" w:hAnsi="Arial"/>
                <w:sz w:val="24"/>
              </w:rPr>
              <w:t>South Brunswick,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LPLP</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62-849-489-13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 xml:space="preserve">Prudential </w:t>
            </w:r>
          </w:p>
          <w:p>
            <w:pPr>
              <w:pStyle w:val="Normal"/>
              <w:rPr>
                <w:rFonts w:ascii="Arial" w:hAnsi="Arial" w:cs="Arial"/>
                <w:sz w:val="24"/>
              </w:rPr>
            </w:pPr>
            <w:r>
              <w:rPr>
                <w:rFonts w:cs="Arial" w:ascii="Arial" w:hAnsi="Arial"/>
                <w:sz w:val="24"/>
              </w:rPr>
              <w:t>Woodbridge I</w:t>
            </w:r>
          </w:p>
          <w:p>
            <w:pPr>
              <w:pStyle w:val="Normal"/>
              <w:rPr>
                <w:rFonts w:ascii="Arial" w:hAnsi="Arial" w:cs="Arial"/>
                <w:sz w:val="24"/>
              </w:rPr>
            </w:pPr>
            <w:r>
              <w:rPr>
                <w:rFonts w:cs="Arial" w:ascii="Arial" w:hAnsi="Arial"/>
                <w:sz w:val="24"/>
              </w:rPr>
              <w:t>200 Wood Av.</w:t>
            </w:r>
          </w:p>
          <w:p>
            <w:pPr>
              <w:pStyle w:val="Normal"/>
              <w:rPr>
                <w:rFonts w:ascii="Arial" w:hAnsi="Arial" w:cs="Arial"/>
                <w:sz w:val="24"/>
              </w:rPr>
            </w:pPr>
            <w:r>
              <w:rPr>
                <w:rFonts w:cs="Arial" w:ascii="Arial" w:hAnsi="Arial"/>
                <w:sz w:val="24"/>
              </w:rPr>
              <w:t>Iselin,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LPLP</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51-584-952-70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Prudential</w:t>
            </w:r>
          </w:p>
          <w:p>
            <w:pPr>
              <w:pStyle w:val="Normal"/>
              <w:rPr>
                <w:rFonts w:ascii="Arial" w:hAnsi="Arial" w:cs="Arial"/>
                <w:sz w:val="24"/>
              </w:rPr>
            </w:pPr>
            <w:r>
              <w:rPr>
                <w:rFonts w:cs="Arial" w:ascii="Arial" w:hAnsi="Arial"/>
                <w:sz w:val="24"/>
              </w:rPr>
              <w:t>Roseland I</w:t>
            </w:r>
          </w:p>
          <w:p>
            <w:pPr>
              <w:pStyle w:val="Normal"/>
              <w:rPr>
                <w:rFonts w:ascii="Arial" w:hAnsi="Arial" w:cs="Arial"/>
                <w:sz w:val="24"/>
              </w:rPr>
            </w:pPr>
            <w:r>
              <w:rPr>
                <w:rFonts w:cs="Arial" w:ascii="Arial" w:hAnsi="Arial"/>
                <w:sz w:val="24"/>
              </w:rPr>
              <w:t>55 Livingston Av.</w:t>
            </w:r>
          </w:p>
          <w:p>
            <w:pPr>
              <w:pStyle w:val="Normal"/>
              <w:rPr>
                <w:rFonts w:ascii="Arial" w:hAnsi="Arial" w:cs="Arial"/>
                <w:sz w:val="24"/>
              </w:rPr>
            </w:pPr>
            <w:r>
              <w:rPr>
                <w:rFonts w:cs="Arial" w:ascii="Arial" w:hAnsi="Arial"/>
                <w:sz w:val="24"/>
              </w:rPr>
              <w:t>Roseland,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LPLP</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12-027-953-23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Prudential Woodbridge II – Office</w:t>
            </w:r>
          </w:p>
          <w:p>
            <w:pPr>
              <w:pStyle w:val="Normal"/>
              <w:rPr>
                <w:rFonts w:ascii="Arial" w:hAnsi="Arial" w:cs="Arial"/>
                <w:sz w:val="24"/>
              </w:rPr>
            </w:pPr>
            <w:r>
              <w:rPr>
                <w:rFonts w:cs="Arial" w:ascii="Arial" w:hAnsi="Arial"/>
                <w:sz w:val="24"/>
              </w:rPr>
              <w:t>200 Wood Av.</w:t>
            </w:r>
          </w:p>
          <w:p>
            <w:pPr>
              <w:pStyle w:val="Normal"/>
              <w:rPr>
                <w:rFonts w:ascii="Arial" w:hAnsi="Arial" w:cs="Arial"/>
                <w:sz w:val="24"/>
              </w:rPr>
            </w:pPr>
            <w:r>
              <w:rPr>
                <w:rFonts w:cs="Arial" w:ascii="Arial" w:hAnsi="Arial"/>
                <w:sz w:val="24"/>
              </w:rPr>
              <w:t>Iselin,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LPLS</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51-583-163-17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Prudential Woodbridge II – Garage</w:t>
            </w:r>
          </w:p>
          <w:p>
            <w:pPr>
              <w:pStyle w:val="Normal"/>
              <w:rPr>
                <w:rFonts w:ascii="Arial" w:hAnsi="Arial" w:cs="Arial"/>
                <w:sz w:val="24"/>
              </w:rPr>
            </w:pPr>
            <w:r>
              <w:rPr>
                <w:rFonts w:cs="Arial" w:ascii="Arial" w:hAnsi="Arial"/>
                <w:sz w:val="24"/>
              </w:rPr>
              <w:t>200 Wood Av.</w:t>
            </w:r>
          </w:p>
          <w:p>
            <w:pPr>
              <w:pStyle w:val="Normal"/>
              <w:rPr>
                <w:rFonts w:ascii="Arial" w:hAnsi="Arial" w:cs="Arial"/>
                <w:sz w:val="24"/>
              </w:rPr>
            </w:pPr>
            <w:r>
              <w:rPr>
                <w:rFonts w:cs="Arial" w:ascii="Arial" w:hAnsi="Arial"/>
                <w:sz w:val="24"/>
              </w:rPr>
              <w:t>Iselin,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LPLS</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51-583-157-01</w:t>
            </w:r>
          </w:p>
        </w:tc>
      </w:tr>
    </w:tbl>
    <w:p>
      <w:pPr>
        <w:pStyle w:val="Normal"/>
        <w:rPr>
          <w:rFonts w:ascii="Arial" w:hAnsi="Arial" w:cs="Arial"/>
          <w:b/>
        </w:rPr>
      </w:pPr>
      <w:r>
        <w:br w:type="page"/>
      </w:r>
      <w:r>
        <w:rPr>
          <w:rFonts w:cs="Arial" w:ascii="Arial" w:hAnsi="Arial"/>
          <w:b/>
        </w:rPr>
        <w:t>Attachment I Continued.</w:t>
      </w:r>
    </w:p>
    <w:p>
      <w:pPr>
        <w:pStyle w:val="Normal"/>
        <w:rPr>
          <w:rFonts w:ascii="Arial" w:hAnsi="Arial" w:cs="Arial"/>
          <w:b/>
        </w:rPr>
      </w:pPr>
      <w:r>
        <w:rPr>
          <w:rFonts w:cs="Arial" w:ascii="Arial" w:hAnsi="Arial"/>
          <w:b/>
        </w:rPr>
      </w:r>
    </w:p>
    <w:tbl>
      <w:tblPr>
        <w:tblW w:w="8856" w:type="dxa"/>
        <w:jc w:val="start"/>
        <w:tblInd w:w="0" w:type="dxa"/>
        <w:tblLayout w:type="fixed"/>
        <w:tblCellMar>
          <w:top w:w="0" w:type="dxa"/>
          <w:start w:w="108" w:type="dxa"/>
          <w:bottom w:w="0" w:type="dxa"/>
          <w:end w:w="108" w:type="dxa"/>
        </w:tblCellMar>
      </w:tblPr>
      <w:tblGrid>
        <w:gridCol w:w="3798"/>
        <w:gridCol w:w="2520"/>
        <w:gridCol w:w="2538"/>
      </w:tblGrid>
      <w:tr>
        <w:trPr/>
        <w:tc>
          <w:tcPr>
            <w:tcW w:w="8856" w:type="dxa"/>
            <w:gridSpan w:val="3"/>
            <w:tcBorders/>
          </w:tcPr>
          <w:p>
            <w:pPr>
              <w:pStyle w:val="Heading4"/>
              <w:ind w:hanging="0" w:start="0"/>
              <w:rPr/>
            </w:pPr>
            <w:r>
              <w:rPr/>
              <w:t>Block C</w:t>
            </w:r>
          </w:p>
        </w:tc>
      </w:tr>
      <w:tr>
        <w:trPr/>
        <w:tc>
          <w:tcPr>
            <w:tcW w:w="3798"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bottom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start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Customer/Facility Information</w:t>
            </w:r>
          </w:p>
        </w:tc>
        <w:tc>
          <w:tcPr>
            <w:tcW w:w="2520" w:type="dxa"/>
            <w:tcBorders>
              <w:start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Utility/Rate</w:t>
            </w:r>
          </w:p>
        </w:tc>
        <w:tc>
          <w:tcPr>
            <w:tcW w:w="2538" w:type="dxa"/>
            <w:tcBorders>
              <w:start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Account Number</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 xml:space="preserve">Prudential </w:t>
            </w:r>
          </w:p>
          <w:p>
            <w:pPr>
              <w:pStyle w:val="Normal"/>
              <w:rPr>
                <w:rFonts w:ascii="Arial" w:hAnsi="Arial" w:cs="Arial"/>
                <w:sz w:val="24"/>
              </w:rPr>
            </w:pPr>
            <w:r>
              <w:rPr>
                <w:rFonts w:cs="Arial" w:ascii="Arial" w:hAnsi="Arial"/>
                <w:sz w:val="24"/>
              </w:rPr>
              <w:t>Washington Plaza</w:t>
            </w:r>
          </w:p>
          <w:p>
            <w:pPr>
              <w:pStyle w:val="Normal"/>
              <w:rPr>
                <w:rFonts w:ascii="Arial" w:hAnsi="Arial" w:cs="Arial"/>
                <w:sz w:val="24"/>
              </w:rPr>
            </w:pPr>
            <w:r>
              <w:rPr>
                <w:rFonts w:cs="Arial" w:ascii="Arial" w:hAnsi="Arial"/>
                <w:sz w:val="24"/>
              </w:rPr>
              <w:t>48 Academy St.</w:t>
            </w:r>
          </w:p>
          <w:p>
            <w:pPr>
              <w:pStyle w:val="Normal"/>
              <w:rPr>
                <w:rFonts w:ascii="Arial" w:hAnsi="Arial" w:cs="Arial"/>
                <w:sz w:val="24"/>
              </w:rPr>
            </w:pPr>
            <w:r>
              <w:rPr>
                <w:rFonts w:cs="Arial" w:ascii="Arial" w:hAnsi="Arial"/>
                <w:sz w:val="24"/>
              </w:rPr>
              <w:t>Newark,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LPLP</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11-286-962-15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Sonoco</w:t>
            </w:r>
          </w:p>
          <w:p>
            <w:pPr>
              <w:pStyle w:val="Normal"/>
              <w:rPr>
                <w:rFonts w:ascii="Arial" w:hAnsi="Arial" w:cs="Arial"/>
                <w:sz w:val="24"/>
              </w:rPr>
            </w:pPr>
            <w:r>
              <w:rPr>
                <w:rFonts w:cs="Arial" w:ascii="Arial" w:hAnsi="Arial"/>
                <w:sz w:val="24"/>
              </w:rPr>
              <w:t>South Brunswick,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LPLS</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62-613-263-12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 xml:space="preserve">Prudential </w:t>
            </w:r>
          </w:p>
          <w:p>
            <w:pPr>
              <w:pStyle w:val="Normal"/>
              <w:rPr>
                <w:rFonts w:ascii="Arial" w:hAnsi="Arial" w:cs="Arial"/>
                <w:sz w:val="24"/>
              </w:rPr>
            </w:pPr>
            <w:r>
              <w:rPr>
                <w:rFonts w:cs="Arial" w:ascii="Arial" w:hAnsi="Arial"/>
                <w:sz w:val="24"/>
              </w:rPr>
              <w:t>Roseland III</w:t>
            </w:r>
          </w:p>
          <w:p>
            <w:pPr>
              <w:pStyle w:val="Normal"/>
              <w:rPr>
                <w:rFonts w:ascii="Arial" w:hAnsi="Arial" w:cs="Arial"/>
                <w:sz w:val="24"/>
              </w:rPr>
            </w:pPr>
            <w:r>
              <w:rPr>
                <w:rFonts w:cs="Arial" w:ascii="Arial" w:hAnsi="Arial"/>
                <w:sz w:val="24"/>
              </w:rPr>
              <w:t>80 N. Livingston Av.</w:t>
            </w:r>
          </w:p>
          <w:p>
            <w:pPr>
              <w:pStyle w:val="Normal"/>
              <w:rPr>
                <w:rFonts w:ascii="Arial" w:hAnsi="Arial" w:cs="Arial"/>
                <w:sz w:val="24"/>
              </w:rPr>
            </w:pPr>
            <w:r>
              <w:rPr>
                <w:rFonts w:cs="Arial" w:ascii="Arial" w:hAnsi="Arial"/>
                <w:sz w:val="24"/>
              </w:rPr>
              <w:t>Roseland,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LPLT</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12-027-954-20</w:t>
            </w:r>
          </w:p>
        </w:tc>
      </w:tr>
      <w:tr>
        <w:trPr/>
        <w:tc>
          <w:tcPr>
            <w:tcW w:w="3798"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 xml:space="preserve">Prudential </w:t>
            </w:r>
          </w:p>
          <w:p>
            <w:pPr>
              <w:pStyle w:val="Normal"/>
              <w:rPr>
                <w:rFonts w:ascii="Arial" w:hAnsi="Arial" w:cs="Arial"/>
                <w:sz w:val="24"/>
              </w:rPr>
            </w:pPr>
            <w:r>
              <w:rPr>
                <w:rFonts w:cs="Arial" w:ascii="Arial" w:hAnsi="Arial"/>
                <w:sz w:val="24"/>
              </w:rPr>
              <w:t>Gateway Center III</w:t>
            </w:r>
          </w:p>
          <w:p>
            <w:pPr>
              <w:pStyle w:val="Normal"/>
              <w:rPr>
                <w:rFonts w:ascii="Arial" w:hAnsi="Arial" w:cs="Arial"/>
                <w:sz w:val="24"/>
              </w:rPr>
            </w:pPr>
            <w:r>
              <w:rPr>
                <w:rFonts w:cs="Arial" w:ascii="Arial" w:hAnsi="Arial"/>
                <w:sz w:val="24"/>
              </w:rPr>
              <w:t>100 Mulberry St.</w:t>
            </w:r>
          </w:p>
          <w:p>
            <w:pPr>
              <w:pStyle w:val="Normal"/>
              <w:rPr>
                <w:rFonts w:ascii="Arial" w:hAnsi="Arial" w:cs="Arial"/>
                <w:sz w:val="24"/>
              </w:rPr>
            </w:pPr>
            <w:r>
              <w:rPr>
                <w:rFonts w:cs="Arial" w:ascii="Arial" w:hAnsi="Arial"/>
                <w:sz w:val="24"/>
              </w:rPr>
              <w:t>Newark, NJ</w:t>
            </w:r>
          </w:p>
        </w:tc>
        <w:tc>
          <w:tcPr>
            <w:tcW w:w="2520"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PSE&amp;G</w:t>
            </w:r>
          </w:p>
          <w:p>
            <w:pPr>
              <w:pStyle w:val="Normal"/>
              <w:rPr>
                <w:rFonts w:ascii="Arial" w:hAnsi="Arial" w:cs="Arial"/>
                <w:sz w:val="24"/>
              </w:rPr>
            </w:pPr>
            <w:r>
              <w:rPr>
                <w:rFonts w:cs="Arial" w:ascii="Arial" w:hAnsi="Arial"/>
                <w:sz w:val="24"/>
              </w:rPr>
              <w:t>Rate LPLT</w:t>
            </w:r>
          </w:p>
        </w:tc>
        <w:tc>
          <w:tcPr>
            <w:tcW w:w="2538"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11-286-972-38</w:t>
            </w:r>
          </w:p>
        </w:tc>
      </w:tr>
      <w:tr>
        <w:trPr/>
        <w:tc>
          <w:tcPr>
            <w:tcW w:w="3798" w:type="dxa"/>
            <w:tcBorders>
              <w:top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top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top w:val="single" w:sz="4" w:space="0" w:color="000000"/>
            </w:tcBorders>
          </w:tcPr>
          <w:p>
            <w:pPr>
              <w:pStyle w:val="Normal"/>
              <w:snapToGrid w:val="false"/>
              <w:rPr>
                <w:rFonts w:ascii="Arial" w:hAnsi="Arial" w:cs="Arial"/>
                <w:sz w:val="24"/>
              </w:rPr>
            </w:pPr>
            <w:r>
              <w:rPr>
                <w:rFonts w:cs="Arial" w:ascii="Arial" w:hAnsi="Arial"/>
                <w:sz w:val="24"/>
              </w:rPr>
            </w:r>
          </w:p>
        </w:tc>
      </w:tr>
      <w:tr>
        <w:trPr/>
        <w:tc>
          <w:tcPr>
            <w:tcW w:w="8856" w:type="dxa"/>
            <w:gridSpan w:val="3"/>
            <w:tcBorders/>
          </w:tcPr>
          <w:p>
            <w:pPr>
              <w:pStyle w:val="Heading4"/>
              <w:ind w:hanging="0" w:start="0"/>
              <w:rPr/>
            </w:pPr>
            <w:r>
              <w:rPr/>
              <w:t>Block D</w:t>
            </w:r>
          </w:p>
        </w:tc>
      </w:tr>
      <w:tr>
        <w:trPr/>
        <w:tc>
          <w:tcPr>
            <w:tcW w:w="3798"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bottom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Customer/Facility Information</w:t>
            </w:r>
          </w:p>
        </w:tc>
        <w:tc>
          <w:tcPr>
            <w:tcW w:w="2520"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Utility/Rate</w:t>
            </w:r>
          </w:p>
        </w:tc>
        <w:tc>
          <w:tcPr>
            <w:tcW w:w="253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Account Number</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Prudential</w:t>
            </w:r>
          </w:p>
          <w:p>
            <w:pPr>
              <w:pStyle w:val="Normal"/>
              <w:rPr>
                <w:rFonts w:ascii="Arial" w:hAnsi="Arial" w:cs="Arial"/>
                <w:sz w:val="24"/>
              </w:rPr>
            </w:pPr>
            <w:r>
              <w:rPr>
                <w:rFonts w:cs="Arial" w:ascii="Arial" w:hAnsi="Arial"/>
                <w:sz w:val="24"/>
              </w:rPr>
              <w:t>CGO</w:t>
            </w:r>
          </w:p>
          <w:p>
            <w:pPr>
              <w:pStyle w:val="Normal"/>
              <w:rPr>
                <w:rFonts w:ascii="Arial" w:hAnsi="Arial" w:cs="Arial"/>
                <w:sz w:val="24"/>
              </w:rPr>
            </w:pPr>
            <w:r>
              <w:rPr>
                <w:rFonts w:cs="Arial" w:ascii="Arial" w:hAnsi="Arial"/>
                <w:sz w:val="24"/>
              </w:rPr>
              <w:t>250 Gibralter Rd.</w:t>
            </w:r>
          </w:p>
          <w:p>
            <w:pPr>
              <w:pStyle w:val="Normal"/>
              <w:rPr>
                <w:rFonts w:ascii="Arial" w:hAnsi="Arial" w:cs="Arial"/>
                <w:sz w:val="24"/>
              </w:rPr>
            </w:pPr>
            <w:r>
              <w:rPr>
                <w:rFonts w:cs="Arial" w:ascii="Arial" w:hAnsi="Arial"/>
                <w:sz w:val="24"/>
              </w:rPr>
              <w:t xml:space="preserve">Worsham, PA </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PECO Energy</w:t>
            </w:r>
          </w:p>
          <w:p>
            <w:pPr>
              <w:pStyle w:val="Normal"/>
              <w:rPr>
                <w:rFonts w:ascii="Arial" w:hAnsi="Arial" w:cs="Arial"/>
                <w:sz w:val="24"/>
              </w:rPr>
            </w:pPr>
            <w:r>
              <w:rPr>
                <w:rFonts w:cs="Arial" w:ascii="Arial" w:hAnsi="Arial"/>
                <w:sz w:val="24"/>
              </w:rPr>
              <w:t>Rate HT</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040-08-93-100018-01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Sonoco</w:t>
            </w:r>
          </w:p>
          <w:p>
            <w:pPr>
              <w:pStyle w:val="Normal"/>
              <w:rPr>
                <w:rFonts w:ascii="Arial" w:hAnsi="Arial" w:cs="Arial"/>
                <w:sz w:val="24"/>
              </w:rPr>
            </w:pPr>
            <w:r>
              <w:rPr>
                <w:rFonts w:cs="Arial" w:ascii="Arial" w:hAnsi="Arial"/>
                <w:sz w:val="24"/>
              </w:rPr>
              <w:t>South Brandywine Av.</w:t>
            </w:r>
          </w:p>
          <w:p>
            <w:pPr>
              <w:pStyle w:val="Normal"/>
              <w:rPr>
                <w:rFonts w:ascii="Arial" w:hAnsi="Arial" w:cs="Arial"/>
                <w:sz w:val="24"/>
              </w:rPr>
            </w:pPr>
            <w:r>
              <w:rPr>
                <w:rFonts w:cs="Arial" w:ascii="Arial" w:hAnsi="Arial"/>
                <w:sz w:val="24"/>
              </w:rPr>
              <w:t>Downington, PA</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PECO Energy</w:t>
            </w:r>
          </w:p>
          <w:p>
            <w:pPr>
              <w:pStyle w:val="Normal"/>
              <w:rPr>
                <w:rFonts w:ascii="Arial" w:hAnsi="Arial" w:cs="Arial"/>
                <w:sz w:val="24"/>
              </w:rPr>
            </w:pPr>
            <w:r>
              <w:rPr>
                <w:rFonts w:cs="Arial" w:ascii="Arial" w:hAnsi="Arial"/>
                <w:sz w:val="24"/>
              </w:rPr>
              <w:t>Rate HT</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035-19-90-992510-01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Sonoco</w:t>
            </w:r>
          </w:p>
          <w:p>
            <w:pPr>
              <w:pStyle w:val="Normal"/>
              <w:rPr>
                <w:rFonts w:ascii="Arial" w:hAnsi="Arial" w:cs="Arial"/>
                <w:sz w:val="24"/>
              </w:rPr>
            </w:pPr>
            <w:r>
              <w:rPr>
                <w:rFonts w:cs="Arial" w:ascii="Arial" w:hAnsi="Arial"/>
                <w:sz w:val="24"/>
              </w:rPr>
              <w:t>30 W. Meadow Av.</w:t>
            </w:r>
          </w:p>
          <w:p>
            <w:pPr>
              <w:pStyle w:val="Normal"/>
              <w:rPr>
                <w:rFonts w:ascii="Arial" w:hAnsi="Arial" w:cs="Arial"/>
                <w:sz w:val="24"/>
              </w:rPr>
            </w:pPr>
            <w:r>
              <w:rPr>
                <w:rFonts w:cs="Arial" w:ascii="Arial" w:hAnsi="Arial"/>
                <w:sz w:val="24"/>
              </w:rPr>
              <w:t>Robesonia, PA</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 xml:space="preserve">PPL </w:t>
            </w:r>
          </w:p>
          <w:p>
            <w:pPr>
              <w:pStyle w:val="Normal"/>
              <w:rPr>
                <w:rFonts w:ascii="Arial" w:hAnsi="Arial" w:cs="Arial"/>
                <w:sz w:val="24"/>
              </w:rPr>
            </w:pPr>
            <w:r>
              <w:rPr>
                <w:rFonts w:cs="Arial" w:ascii="Arial" w:hAnsi="Arial"/>
                <w:sz w:val="24"/>
              </w:rPr>
              <w:t>Rate GS3</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69470-33530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General Cable</w:t>
            </w:r>
          </w:p>
          <w:p>
            <w:pPr>
              <w:pStyle w:val="Normal"/>
              <w:rPr>
                <w:rFonts w:ascii="Arial" w:hAnsi="Arial" w:cs="Arial"/>
                <w:sz w:val="24"/>
              </w:rPr>
            </w:pPr>
            <w:r>
              <w:rPr>
                <w:rFonts w:cs="Arial" w:ascii="Arial" w:hAnsi="Arial"/>
                <w:sz w:val="24"/>
              </w:rPr>
              <w:t>1050 E. Broad Street</w:t>
            </w:r>
          </w:p>
          <w:p>
            <w:pPr>
              <w:pStyle w:val="Normal"/>
              <w:rPr>
                <w:rFonts w:ascii="Arial" w:hAnsi="Arial" w:cs="Arial"/>
                <w:sz w:val="24"/>
              </w:rPr>
            </w:pPr>
            <w:r>
              <w:rPr>
                <w:rFonts w:cs="Arial" w:ascii="Arial" w:hAnsi="Arial"/>
                <w:sz w:val="24"/>
              </w:rPr>
              <w:t>Montoursville, PA</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PPL</w:t>
            </w:r>
          </w:p>
          <w:p>
            <w:pPr>
              <w:pStyle w:val="Normal"/>
              <w:rPr>
                <w:rFonts w:ascii="Arial" w:hAnsi="Arial" w:cs="Arial"/>
                <w:sz w:val="24"/>
              </w:rPr>
            </w:pPr>
            <w:r>
              <w:rPr>
                <w:rFonts w:cs="Arial" w:ascii="Arial" w:hAnsi="Arial"/>
                <w:sz w:val="24"/>
              </w:rPr>
              <w:t>Rate LP4</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14260-50009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Suiza</w:t>
            </w:r>
          </w:p>
          <w:p>
            <w:pPr>
              <w:pStyle w:val="Normal"/>
              <w:rPr>
                <w:rFonts w:ascii="Arial" w:hAnsi="Arial" w:cs="Arial"/>
                <w:sz w:val="24"/>
              </w:rPr>
            </w:pPr>
            <w:r>
              <w:rPr>
                <w:rFonts w:cs="Arial" w:ascii="Arial" w:hAnsi="Arial"/>
                <w:sz w:val="24"/>
              </w:rPr>
              <w:t>Lehigh Valley Dairy</w:t>
            </w:r>
          </w:p>
          <w:p>
            <w:pPr>
              <w:pStyle w:val="Normal"/>
              <w:rPr>
                <w:rFonts w:ascii="Arial" w:hAnsi="Arial" w:cs="Arial"/>
                <w:sz w:val="24"/>
              </w:rPr>
            </w:pPr>
            <w:r>
              <w:rPr>
                <w:rFonts w:cs="Arial" w:ascii="Arial" w:hAnsi="Arial"/>
                <w:sz w:val="24"/>
              </w:rPr>
              <w:t>Shylkl, PA</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PPL</w:t>
            </w:r>
          </w:p>
          <w:p>
            <w:pPr>
              <w:pStyle w:val="Normal"/>
              <w:rPr>
                <w:rFonts w:ascii="Arial" w:hAnsi="Arial" w:cs="Arial"/>
                <w:sz w:val="24"/>
              </w:rPr>
            </w:pPr>
            <w:r>
              <w:rPr>
                <w:rFonts w:cs="Arial" w:ascii="Arial" w:hAnsi="Arial"/>
                <w:sz w:val="24"/>
              </w:rPr>
              <w:t>Rate LP4</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92000-80001</w:t>
            </w:r>
          </w:p>
        </w:tc>
      </w:tr>
    </w:tbl>
    <w:p>
      <w:pPr>
        <w:pStyle w:val="Normal"/>
        <w:rPr>
          <w:rFonts w:ascii="Arial" w:hAnsi="Arial" w:cs="Arial"/>
          <w:b/>
        </w:rPr>
      </w:pPr>
      <w:r>
        <w:br w:type="page"/>
      </w:r>
      <w:r>
        <w:rPr>
          <w:rFonts w:cs="Arial" w:ascii="Arial" w:hAnsi="Arial"/>
          <w:b/>
        </w:rPr>
        <w:t>Attachment I Continued.</w:t>
      </w:r>
    </w:p>
    <w:p>
      <w:pPr>
        <w:pStyle w:val="Normal"/>
        <w:rPr>
          <w:rFonts w:ascii="Arial" w:hAnsi="Arial" w:cs="Arial"/>
          <w:b/>
        </w:rPr>
      </w:pPr>
      <w:r>
        <w:rPr>
          <w:rFonts w:cs="Arial" w:ascii="Arial" w:hAnsi="Arial"/>
          <w:b/>
        </w:rPr>
      </w:r>
    </w:p>
    <w:tbl>
      <w:tblPr>
        <w:tblW w:w="8856" w:type="dxa"/>
        <w:jc w:val="start"/>
        <w:tblInd w:w="0" w:type="dxa"/>
        <w:tblLayout w:type="fixed"/>
        <w:tblCellMar>
          <w:top w:w="0" w:type="dxa"/>
          <w:start w:w="108" w:type="dxa"/>
          <w:bottom w:w="0" w:type="dxa"/>
          <w:end w:w="108" w:type="dxa"/>
        </w:tblCellMar>
      </w:tblPr>
      <w:tblGrid>
        <w:gridCol w:w="3798"/>
        <w:gridCol w:w="2520"/>
        <w:gridCol w:w="2538"/>
      </w:tblGrid>
      <w:tr>
        <w:trPr/>
        <w:tc>
          <w:tcPr>
            <w:tcW w:w="8856" w:type="dxa"/>
            <w:gridSpan w:val="3"/>
            <w:tcBorders/>
          </w:tcPr>
          <w:p>
            <w:pPr>
              <w:pStyle w:val="Heading4"/>
              <w:ind w:hanging="0" w:start="0"/>
              <w:rPr/>
            </w:pPr>
            <w:r>
              <w:rPr/>
              <w:t>Block E</w:t>
            </w:r>
          </w:p>
        </w:tc>
      </w:tr>
      <w:tr>
        <w:trPr/>
        <w:tc>
          <w:tcPr>
            <w:tcW w:w="3798"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bottom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Customer/Facility Information</w:t>
            </w:r>
          </w:p>
        </w:tc>
        <w:tc>
          <w:tcPr>
            <w:tcW w:w="2520"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Utility/Rate</w:t>
            </w:r>
          </w:p>
        </w:tc>
        <w:tc>
          <w:tcPr>
            <w:tcW w:w="253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Account Number</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Lucent</w:t>
            </w:r>
          </w:p>
          <w:p>
            <w:pPr>
              <w:pStyle w:val="Normal"/>
              <w:rPr>
                <w:rFonts w:ascii="Arial" w:hAnsi="Arial" w:cs="Arial"/>
                <w:sz w:val="24"/>
              </w:rPr>
            </w:pPr>
            <w:r>
              <w:rPr>
                <w:rFonts w:cs="Arial" w:ascii="Arial" w:hAnsi="Arial"/>
                <w:sz w:val="24"/>
              </w:rPr>
              <w:t>475 South Street</w:t>
            </w:r>
          </w:p>
          <w:p>
            <w:pPr>
              <w:pStyle w:val="Normal"/>
              <w:rPr>
                <w:rFonts w:ascii="Arial" w:hAnsi="Arial" w:cs="Arial"/>
                <w:sz w:val="24"/>
              </w:rPr>
            </w:pPr>
            <w:r>
              <w:rPr>
                <w:rFonts w:cs="Arial" w:ascii="Arial" w:hAnsi="Arial"/>
                <w:sz w:val="24"/>
              </w:rPr>
              <w:t>Morristown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GPU Energy</w:t>
            </w:r>
          </w:p>
          <w:p>
            <w:pPr>
              <w:pStyle w:val="Normal"/>
              <w:rPr>
                <w:rFonts w:ascii="Arial" w:hAnsi="Arial" w:cs="Arial"/>
                <w:sz w:val="24"/>
              </w:rPr>
            </w:pPr>
            <w:r>
              <w:rPr>
                <w:rFonts w:cs="Arial" w:ascii="Arial" w:hAnsi="Arial"/>
                <w:sz w:val="24"/>
              </w:rPr>
              <w:t>Rate: General Service Primary</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10-00-04-1013-7-2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Lucent</w:t>
            </w:r>
          </w:p>
          <w:p>
            <w:pPr>
              <w:pStyle w:val="Normal"/>
              <w:rPr>
                <w:rFonts w:ascii="Arial" w:hAnsi="Arial" w:cs="Arial"/>
                <w:sz w:val="24"/>
              </w:rPr>
            </w:pPr>
            <w:r>
              <w:rPr>
                <w:rFonts w:cs="Arial" w:ascii="Arial" w:hAnsi="Arial"/>
                <w:sz w:val="24"/>
              </w:rPr>
              <w:t>600 Mountain Av.</w:t>
            </w:r>
          </w:p>
          <w:p>
            <w:pPr>
              <w:pStyle w:val="Normal"/>
              <w:rPr>
                <w:rFonts w:ascii="Arial" w:hAnsi="Arial" w:cs="Arial"/>
                <w:sz w:val="24"/>
              </w:rPr>
            </w:pPr>
            <w:r>
              <w:rPr>
                <w:rFonts w:cs="Arial" w:ascii="Arial" w:hAnsi="Arial"/>
                <w:sz w:val="24"/>
              </w:rPr>
              <w:t>Murray Hill,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GPU Energy</w:t>
            </w:r>
          </w:p>
          <w:p>
            <w:pPr>
              <w:pStyle w:val="Normal"/>
              <w:rPr>
                <w:rFonts w:ascii="Arial" w:hAnsi="Arial" w:cs="Arial"/>
                <w:sz w:val="24"/>
              </w:rPr>
            </w:pPr>
            <w:r>
              <w:rPr>
                <w:rFonts w:cs="Arial" w:ascii="Arial" w:hAnsi="Arial"/>
                <w:sz w:val="24"/>
              </w:rPr>
              <w:t>Rate: General Service Transmission</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100-00-06-7873-6-8</w:t>
            </w:r>
          </w:p>
        </w:tc>
      </w:tr>
      <w:tr>
        <w:trPr/>
        <w:tc>
          <w:tcPr>
            <w:tcW w:w="3798"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Lucent</w:t>
            </w:r>
          </w:p>
          <w:p>
            <w:pPr>
              <w:pStyle w:val="Normal"/>
              <w:rPr>
                <w:rFonts w:ascii="Arial" w:hAnsi="Arial" w:cs="Arial"/>
                <w:sz w:val="24"/>
              </w:rPr>
            </w:pPr>
            <w:r>
              <w:rPr>
                <w:rFonts w:cs="Arial" w:ascii="Arial" w:hAnsi="Arial"/>
                <w:sz w:val="24"/>
              </w:rPr>
              <w:t>Whippany Rd.</w:t>
            </w:r>
          </w:p>
          <w:p>
            <w:pPr>
              <w:pStyle w:val="Normal"/>
              <w:rPr>
                <w:rFonts w:ascii="Arial" w:hAnsi="Arial" w:cs="Arial"/>
                <w:sz w:val="24"/>
              </w:rPr>
            </w:pPr>
            <w:r>
              <w:rPr>
                <w:rFonts w:cs="Arial" w:ascii="Arial" w:hAnsi="Arial"/>
                <w:sz w:val="24"/>
              </w:rPr>
              <w:t>Morristown, NJ</w:t>
            </w:r>
          </w:p>
        </w:tc>
        <w:tc>
          <w:tcPr>
            <w:tcW w:w="2520"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GPU Energy</w:t>
            </w:r>
          </w:p>
          <w:p>
            <w:pPr>
              <w:pStyle w:val="Normal"/>
              <w:rPr>
                <w:rFonts w:ascii="Arial" w:hAnsi="Arial" w:cs="Arial"/>
                <w:sz w:val="24"/>
              </w:rPr>
            </w:pPr>
            <w:r>
              <w:rPr>
                <w:rFonts w:cs="Arial" w:ascii="Arial" w:hAnsi="Arial"/>
                <w:sz w:val="24"/>
              </w:rPr>
              <w:t>Rate: General Service Transmission</w:t>
            </w:r>
          </w:p>
        </w:tc>
        <w:tc>
          <w:tcPr>
            <w:tcW w:w="2538"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10-00-06-2023-3-5</w:t>
            </w:r>
          </w:p>
        </w:tc>
      </w:tr>
      <w:tr>
        <w:trPr/>
        <w:tc>
          <w:tcPr>
            <w:tcW w:w="3798" w:type="dxa"/>
            <w:tcBorders>
              <w:top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top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top w:val="single" w:sz="4" w:space="0" w:color="000000"/>
            </w:tcBorders>
          </w:tcPr>
          <w:p>
            <w:pPr>
              <w:pStyle w:val="Normal"/>
              <w:snapToGrid w:val="false"/>
              <w:rPr>
                <w:rFonts w:ascii="Arial" w:hAnsi="Arial" w:cs="Arial"/>
                <w:sz w:val="24"/>
              </w:rPr>
            </w:pPr>
            <w:r>
              <w:rPr>
                <w:rFonts w:cs="Arial" w:ascii="Arial" w:hAnsi="Arial"/>
                <w:sz w:val="24"/>
              </w:rPr>
            </w:r>
          </w:p>
        </w:tc>
      </w:tr>
      <w:tr>
        <w:trPr/>
        <w:tc>
          <w:tcPr>
            <w:tcW w:w="8856" w:type="dxa"/>
            <w:gridSpan w:val="3"/>
            <w:tcBorders/>
          </w:tcPr>
          <w:p>
            <w:pPr>
              <w:pStyle w:val="Heading4"/>
              <w:ind w:hanging="0" w:start="0"/>
              <w:rPr/>
            </w:pPr>
            <w:r>
              <w:rPr/>
              <w:t>Block F</w:t>
            </w:r>
          </w:p>
        </w:tc>
      </w:tr>
      <w:tr>
        <w:trPr/>
        <w:tc>
          <w:tcPr>
            <w:tcW w:w="3798"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bottom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Customer/Facility Information</w:t>
            </w:r>
          </w:p>
        </w:tc>
        <w:tc>
          <w:tcPr>
            <w:tcW w:w="2520"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Utility/Rate</w:t>
            </w:r>
          </w:p>
        </w:tc>
        <w:tc>
          <w:tcPr>
            <w:tcW w:w="253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Account Number</w:t>
            </w:r>
          </w:p>
        </w:tc>
      </w:tr>
      <w:tr>
        <w:trPr>
          <w:trHeight w:val="215" w:hRule="atLeast"/>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General Cable</w:t>
            </w:r>
          </w:p>
          <w:p>
            <w:pPr>
              <w:pStyle w:val="Normal"/>
              <w:rPr>
                <w:rFonts w:ascii="Arial" w:hAnsi="Arial" w:cs="Arial"/>
                <w:sz w:val="24"/>
              </w:rPr>
            </w:pPr>
            <w:r>
              <w:rPr>
                <w:rFonts w:cs="Arial" w:ascii="Arial" w:hAnsi="Arial"/>
                <w:sz w:val="24"/>
              </w:rPr>
              <w:t>3101 Pleasant Valley Blvd.</w:t>
            </w:r>
          </w:p>
          <w:p>
            <w:pPr>
              <w:pStyle w:val="Normal"/>
              <w:rPr>
                <w:rFonts w:ascii="Arial" w:hAnsi="Arial" w:cs="Arial"/>
                <w:sz w:val="24"/>
              </w:rPr>
            </w:pPr>
            <w:r>
              <w:rPr>
                <w:rFonts w:cs="Arial" w:ascii="Arial" w:hAnsi="Arial"/>
                <w:sz w:val="24"/>
              </w:rPr>
              <w:t>Altoona, PA</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GPU Energy</w:t>
            </w:r>
          </w:p>
          <w:p>
            <w:pPr>
              <w:pStyle w:val="Normal"/>
              <w:rPr>
                <w:rFonts w:ascii="Arial" w:hAnsi="Arial" w:cs="Arial"/>
                <w:sz w:val="24"/>
              </w:rPr>
            </w:pPr>
            <w:r>
              <w:rPr>
                <w:rFonts w:cs="Arial" w:ascii="Arial" w:hAnsi="Arial"/>
                <w:sz w:val="24"/>
              </w:rPr>
              <w:t>Rate: General Primary</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10-00-08-9730-0-8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Molded Fiber Glass</w:t>
            </w:r>
          </w:p>
          <w:p>
            <w:pPr>
              <w:pStyle w:val="Normal"/>
              <w:rPr/>
            </w:pPr>
            <w:r>
              <w:rPr>
                <w:rFonts w:cs="Arial" w:ascii="Arial" w:hAnsi="Arial"/>
                <w:sz w:val="24"/>
              </w:rPr>
              <w:t>55 4</w:t>
            </w:r>
            <w:r>
              <w:rPr>
                <w:rFonts w:cs="Arial" w:ascii="Arial" w:hAnsi="Arial"/>
                <w:sz w:val="24"/>
                <w:vertAlign w:val="superscript"/>
              </w:rPr>
              <w:t>th</w:t>
            </w:r>
            <w:r>
              <w:rPr>
                <w:rFonts w:cs="Arial" w:ascii="Arial" w:hAnsi="Arial"/>
                <w:sz w:val="24"/>
              </w:rPr>
              <w:t xml:space="preserve"> Av.</w:t>
            </w:r>
          </w:p>
          <w:p>
            <w:pPr>
              <w:pStyle w:val="Normal"/>
              <w:rPr>
                <w:rFonts w:ascii="Arial" w:hAnsi="Arial" w:cs="Arial"/>
                <w:sz w:val="24"/>
              </w:rPr>
            </w:pPr>
            <w:r>
              <w:rPr>
                <w:rFonts w:cs="Arial" w:ascii="Arial" w:hAnsi="Arial"/>
                <w:sz w:val="24"/>
              </w:rPr>
              <w:t>Union City, PA</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GPU Energy</w:t>
            </w:r>
          </w:p>
          <w:p>
            <w:pPr>
              <w:pStyle w:val="Normal"/>
              <w:rPr>
                <w:rFonts w:ascii="Arial" w:hAnsi="Arial" w:cs="Arial"/>
                <w:sz w:val="24"/>
              </w:rPr>
            </w:pPr>
            <w:r>
              <w:rPr>
                <w:rFonts w:cs="Arial" w:ascii="Arial" w:hAnsi="Arial"/>
                <w:sz w:val="24"/>
              </w:rPr>
              <w:t>Rate: General Secondary Time of Day</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10-00-06-3819-3-1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Prudential</w:t>
            </w:r>
          </w:p>
          <w:p>
            <w:pPr>
              <w:pStyle w:val="Normal"/>
              <w:rPr>
                <w:rFonts w:ascii="Arial" w:hAnsi="Arial" w:cs="Arial"/>
                <w:sz w:val="24"/>
              </w:rPr>
            </w:pPr>
            <w:r>
              <w:rPr>
                <w:rFonts w:cs="Arial" w:ascii="Arial" w:hAnsi="Arial"/>
                <w:sz w:val="24"/>
              </w:rPr>
              <w:t>23 Main Street</w:t>
            </w:r>
          </w:p>
          <w:p>
            <w:pPr>
              <w:pStyle w:val="Normal"/>
              <w:rPr>
                <w:rFonts w:ascii="Arial" w:hAnsi="Arial" w:cs="Arial"/>
                <w:sz w:val="24"/>
              </w:rPr>
            </w:pPr>
            <w:r>
              <w:rPr>
                <w:rFonts w:cs="Arial" w:ascii="Arial" w:hAnsi="Arial"/>
                <w:sz w:val="24"/>
              </w:rPr>
              <w:t>Holmdel,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GPU Energy</w:t>
            </w:r>
          </w:p>
          <w:p>
            <w:pPr>
              <w:pStyle w:val="Normal"/>
              <w:rPr>
                <w:rFonts w:ascii="Arial" w:hAnsi="Arial" w:cs="Arial"/>
                <w:sz w:val="24"/>
              </w:rPr>
            </w:pPr>
            <w:r>
              <w:rPr>
                <w:rFonts w:cs="Arial" w:ascii="Arial" w:hAnsi="Arial"/>
                <w:sz w:val="24"/>
              </w:rPr>
              <w:t>Rate: General Service Primary</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10-00-11-3385-7-9</w:t>
            </w:r>
          </w:p>
        </w:tc>
      </w:tr>
      <w:tr>
        <w:trPr/>
        <w:tc>
          <w:tcPr>
            <w:tcW w:w="3798"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Prudential</w:t>
            </w:r>
          </w:p>
          <w:p>
            <w:pPr>
              <w:pStyle w:val="Normal"/>
              <w:rPr>
                <w:rFonts w:ascii="Arial" w:hAnsi="Arial" w:cs="Arial"/>
                <w:sz w:val="24"/>
              </w:rPr>
            </w:pPr>
            <w:r>
              <w:rPr>
                <w:rFonts w:cs="Arial" w:ascii="Arial" w:hAnsi="Arial"/>
                <w:sz w:val="24"/>
              </w:rPr>
              <w:t>71 Hanover Rd.</w:t>
            </w:r>
          </w:p>
          <w:p>
            <w:pPr>
              <w:pStyle w:val="Normal"/>
              <w:rPr>
                <w:rFonts w:ascii="Arial" w:hAnsi="Arial" w:cs="Arial"/>
                <w:sz w:val="24"/>
              </w:rPr>
            </w:pPr>
            <w:r>
              <w:rPr>
                <w:rFonts w:cs="Arial" w:ascii="Arial" w:hAnsi="Arial"/>
                <w:sz w:val="24"/>
              </w:rPr>
              <w:t>Florham Park, NJ</w:t>
            </w:r>
          </w:p>
        </w:tc>
        <w:tc>
          <w:tcPr>
            <w:tcW w:w="2520"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GPU Energy</w:t>
            </w:r>
          </w:p>
          <w:p>
            <w:pPr>
              <w:pStyle w:val="Normal"/>
              <w:rPr>
                <w:rFonts w:ascii="Arial" w:hAnsi="Arial" w:cs="Arial"/>
                <w:sz w:val="24"/>
              </w:rPr>
            </w:pPr>
            <w:r>
              <w:rPr>
                <w:rFonts w:cs="Arial" w:ascii="Arial" w:hAnsi="Arial"/>
                <w:sz w:val="24"/>
              </w:rPr>
              <w:t>Rate: General Service Primary</w:t>
            </w:r>
          </w:p>
        </w:tc>
        <w:tc>
          <w:tcPr>
            <w:tcW w:w="2538" w:type="dxa"/>
            <w:tcBorders>
              <w:top w:val="single" w:sz="4" w:space="0" w:color="000000"/>
              <w:start w:val="single" w:sz="4" w:space="0" w:color="000000"/>
              <w:end w:val="single" w:sz="4" w:space="0" w:color="000000"/>
            </w:tcBorders>
          </w:tcPr>
          <w:p>
            <w:pPr>
              <w:pStyle w:val="Normal"/>
              <w:rPr>
                <w:rFonts w:ascii="Arial" w:hAnsi="Arial" w:cs="Arial"/>
                <w:sz w:val="24"/>
              </w:rPr>
            </w:pPr>
            <w:r>
              <w:rPr>
                <w:rFonts w:cs="Arial" w:ascii="Arial" w:hAnsi="Arial"/>
                <w:sz w:val="24"/>
              </w:rPr>
              <w:t>10-00-06-2024-3-4</w:t>
            </w:r>
          </w:p>
        </w:tc>
      </w:tr>
      <w:tr>
        <w:trPr/>
        <w:tc>
          <w:tcPr>
            <w:tcW w:w="3798" w:type="dxa"/>
            <w:tcBorders>
              <w:top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top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top w:val="single" w:sz="4" w:space="0" w:color="000000"/>
            </w:tcBorders>
          </w:tcPr>
          <w:p>
            <w:pPr>
              <w:pStyle w:val="Normal"/>
              <w:snapToGrid w:val="false"/>
              <w:rPr>
                <w:rFonts w:ascii="Arial" w:hAnsi="Arial" w:cs="Arial"/>
                <w:sz w:val="24"/>
              </w:rPr>
            </w:pPr>
            <w:r>
              <w:rPr>
                <w:rFonts w:cs="Arial" w:ascii="Arial" w:hAnsi="Arial"/>
                <w:sz w:val="24"/>
              </w:rPr>
            </w:r>
          </w:p>
        </w:tc>
      </w:tr>
      <w:tr>
        <w:trPr/>
        <w:tc>
          <w:tcPr>
            <w:tcW w:w="8856" w:type="dxa"/>
            <w:gridSpan w:val="3"/>
            <w:tcBorders/>
          </w:tcPr>
          <w:p>
            <w:pPr>
              <w:pStyle w:val="Heading4"/>
              <w:ind w:hanging="0" w:start="0"/>
              <w:rPr/>
            </w:pPr>
            <w:r>
              <w:rPr/>
              <w:t>Block G</w:t>
            </w:r>
          </w:p>
        </w:tc>
      </w:tr>
      <w:tr>
        <w:trPr/>
        <w:tc>
          <w:tcPr>
            <w:tcW w:w="3798"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bottom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bottom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Customer/Facility Information</w:t>
            </w:r>
          </w:p>
        </w:tc>
        <w:tc>
          <w:tcPr>
            <w:tcW w:w="2520"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Utility/Rate</w:t>
            </w:r>
          </w:p>
        </w:tc>
        <w:tc>
          <w:tcPr>
            <w:tcW w:w="2538" w:type="dxa"/>
            <w:tcBorders>
              <w:start w:val="single" w:sz="4" w:space="0" w:color="000000"/>
              <w:bottom w:val="single" w:sz="4" w:space="0" w:color="000000"/>
              <w:end w:val="single" w:sz="4" w:space="0" w:color="000000"/>
            </w:tcBorders>
            <w:shd w:fill="F2F2F2" w:val="clear"/>
          </w:tcPr>
          <w:p>
            <w:pPr>
              <w:pStyle w:val="Normal"/>
              <w:rPr>
                <w:rFonts w:ascii="Arial" w:hAnsi="Arial" w:cs="Arial"/>
                <w:sz w:val="24"/>
              </w:rPr>
            </w:pPr>
            <w:r>
              <w:rPr>
                <w:rFonts w:cs="Arial" w:ascii="Arial" w:hAnsi="Arial"/>
                <w:sz w:val="24"/>
              </w:rPr>
              <w:t>Account Number</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25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Sonoco</w:t>
            </w:r>
          </w:p>
          <w:p>
            <w:pPr>
              <w:pStyle w:val="Normal"/>
              <w:rPr>
                <w:rFonts w:ascii="Arial" w:hAnsi="Arial" w:cs="Arial"/>
                <w:sz w:val="24"/>
              </w:rPr>
            </w:pPr>
            <w:r>
              <w:rPr>
                <w:rFonts w:cs="Arial" w:ascii="Arial" w:hAnsi="Arial"/>
                <w:sz w:val="24"/>
              </w:rPr>
              <w:t>Milesburg, PA</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Allegheny Power</w:t>
            </w:r>
          </w:p>
          <w:p>
            <w:pPr>
              <w:pStyle w:val="Normal"/>
              <w:rPr>
                <w:rFonts w:ascii="Arial" w:hAnsi="Arial" w:cs="Arial"/>
                <w:sz w:val="24"/>
              </w:rPr>
            </w:pPr>
            <w:r>
              <w:rPr>
                <w:rFonts w:cs="Arial" w:ascii="Arial" w:hAnsi="Arial"/>
                <w:sz w:val="24"/>
              </w:rPr>
              <w:t>Rate: 401</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1-29-22-000-231151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Rich</w:t>
            </w:r>
          </w:p>
          <w:p>
            <w:pPr>
              <w:pStyle w:val="Normal"/>
              <w:rPr>
                <w:rFonts w:ascii="Arial" w:hAnsi="Arial" w:cs="Arial"/>
                <w:sz w:val="24"/>
              </w:rPr>
            </w:pPr>
            <w:r>
              <w:rPr>
                <w:rFonts w:cs="Arial" w:ascii="Arial" w:hAnsi="Arial"/>
                <w:sz w:val="24"/>
              </w:rPr>
              <w:t>1910 Gallagher Ct.</w:t>
            </w:r>
          </w:p>
          <w:p>
            <w:pPr>
              <w:pStyle w:val="Normal"/>
              <w:rPr>
                <w:rFonts w:ascii="Arial" w:hAnsi="Arial" w:cs="Arial"/>
                <w:sz w:val="24"/>
              </w:rPr>
            </w:pPr>
            <w:r>
              <w:rPr>
                <w:rFonts w:cs="Arial" w:ascii="Arial" w:hAnsi="Arial"/>
                <w:sz w:val="24"/>
              </w:rPr>
              <w:t>Vineland,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Conectiv</w:t>
            </w:r>
          </w:p>
          <w:p>
            <w:pPr>
              <w:pStyle w:val="Normal"/>
              <w:rPr>
                <w:rFonts w:ascii="Arial" w:hAnsi="Arial" w:cs="Arial"/>
                <w:sz w:val="24"/>
              </w:rPr>
            </w:pPr>
            <w:r>
              <w:rPr>
                <w:rFonts w:cs="Arial" w:ascii="Arial" w:hAnsi="Arial"/>
                <w:sz w:val="24"/>
              </w:rPr>
              <w:t>Rate: Annual General Service</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0976-7329-9992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 xml:space="preserve">Prudential </w:t>
            </w:r>
          </w:p>
          <w:p>
            <w:pPr>
              <w:pStyle w:val="Normal"/>
              <w:rPr>
                <w:rFonts w:ascii="Arial" w:hAnsi="Arial" w:cs="Arial"/>
                <w:sz w:val="24"/>
              </w:rPr>
            </w:pPr>
            <w:r>
              <w:rPr>
                <w:rFonts w:cs="Arial" w:ascii="Arial" w:hAnsi="Arial"/>
                <w:sz w:val="24"/>
              </w:rPr>
              <w:t>1600 Monroe Street</w:t>
            </w:r>
          </w:p>
          <w:p>
            <w:pPr>
              <w:pStyle w:val="Normal"/>
              <w:rPr>
                <w:rFonts w:ascii="Arial" w:hAnsi="Arial" w:cs="Arial"/>
                <w:sz w:val="24"/>
              </w:rPr>
            </w:pPr>
            <w:r>
              <w:rPr>
                <w:rFonts w:cs="Arial" w:ascii="Arial" w:hAnsi="Arial"/>
                <w:sz w:val="24"/>
              </w:rPr>
              <w:t>Millville, NJ</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Conectiv</w:t>
            </w:r>
          </w:p>
          <w:p>
            <w:pPr>
              <w:pStyle w:val="Normal"/>
              <w:rPr>
                <w:rFonts w:ascii="Arial" w:hAnsi="Arial" w:cs="Arial"/>
                <w:sz w:val="24"/>
              </w:rPr>
            </w:pPr>
            <w:r>
              <w:rPr>
                <w:rFonts w:cs="Arial" w:ascii="Arial" w:hAnsi="Arial"/>
                <w:sz w:val="24"/>
              </w:rPr>
              <w:t>Rate: AGS</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0797-5529-9983</w:t>
            </w:r>
          </w:p>
        </w:tc>
      </w:tr>
    </w:tbl>
    <w:p>
      <w:pPr>
        <w:pStyle w:val="Normal"/>
        <w:rPr/>
      </w:pPr>
      <w:r>
        <w:rPr/>
      </w:r>
    </w:p>
    <w:sectPr>
      <w:footerReference w:type="default" r:id="rId7"/>
      <w:footerReference w:type="first" r:id="rId8"/>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506.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tabs>
        <w:tab w:val="clear" w:pos="4320"/>
        <w:tab w:val="center" w:pos="4860" w:leader="none"/>
        <w:tab w:val="right" w:pos="8640" w:leader="none"/>
      </w:tabs>
      <w:rPr>
        <w:rFonts w:ascii="Arial" w:hAnsi="Arial" w:cs="Arial"/>
      </w:rPr>
    </w:pPr>
    <w:r>
      <w:rPr>
        <w:rFonts w:cs="Arial" w:ascii="Arial" w:hAnsi="Arial"/>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276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2"/>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sz w:val="72"/>
    </w:rPr>
  </w:style>
  <w:style w:type="paragraph" w:styleId="Heading3">
    <w:name w:val="heading 3"/>
    <w:basedOn w:val="Normal"/>
    <w:next w:val="Normal"/>
    <w:qFormat/>
    <w:pPr>
      <w:keepNext w:val="true"/>
      <w:numPr>
        <w:ilvl w:val="0"/>
        <w:numId w:val="3"/>
      </w:numPr>
      <w:outlineLvl w:val="2"/>
    </w:pPr>
    <w:rPr>
      <w:rFonts w:ascii="Arial" w:hAnsi="Arial" w:cs="Arial"/>
      <w:b/>
      <w:sz w:val="24"/>
    </w:rPr>
  </w:style>
  <w:style w:type="paragraph" w:styleId="Heading4">
    <w:name w:val="heading 4"/>
    <w:basedOn w:val="Normal"/>
    <w:next w:val="Normal"/>
    <w:qFormat/>
    <w:pPr>
      <w:keepNext w:val="true"/>
      <w:numPr>
        <w:ilvl w:val="3"/>
        <w:numId w:val="1"/>
      </w:numPr>
      <w:outlineLvl w:val="3"/>
    </w:pPr>
    <w:rPr>
      <w:rFonts w:ascii="Arial" w:hAnsi="Arial" w:cs="Arial"/>
      <w:b/>
      <w:sz w:val="24"/>
    </w:rPr>
  </w:style>
  <w:style w:type="paragraph" w:styleId="Heading5">
    <w:name w:val="heading 5"/>
    <w:basedOn w:val="Normal"/>
    <w:next w:val="Normal"/>
    <w:qFormat/>
    <w:pPr>
      <w:keepNext w:val="true"/>
      <w:numPr>
        <w:ilvl w:val="4"/>
        <w:numId w:val="1"/>
      </w:numPr>
      <w:outlineLvl w:val="4"/>
    </w:pPr>
    <w:rPr>
      <w:rFonts w:ascii="Arial" w:hAnsi="Arial" w:cs="Arial"/>
      <w:b/>
      <w:sz w:val="28"/>
    </w:rPr>
  </w:style>
  <w:style w:type="paragraph" w:styleId="Heading8">
    <w:name w:val="heading 8"/>
    <w:basedOn w:val="Normal"/>
    <w:next w:val="Normal"/>
    <w:qFormat/>
    <w:pPr>
      <w:keepNext w:val="true"/>
      <w:numPr>
        <w:ilvl w:val="7"/>
        <w:numId w:val="1"/>
      </w:numPr>
      <w:jc w:val="center"/>
      <w:outlineLvl w:val="7"/>
    </w:pPr>
    <w:rPr>
      <w:rFonts w:ascii="Arial" w:hAnsi="Arial" w:cs="Arial"/>
      <w:b/>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7">
    <w:name w:val="toc 7"/>
    <w:basedOn w:val="Normal"/>
    <w:pPr>
      <w:tabs>
        <w:tab w:val="clear" w:pos="720"/>
        <w:tab w:val="left" w:pos="8280" w:leader="dot"/>
        <w:tab w:val="right" w:pos="8640" w:leader="none"/>
      </w:tabs>
      <w:spacing w:before="0" w:after="240"/>
      <w:ind w:hanging="0" w:start="0" w:end="72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harrell@enron.com" TargetMode="External"/><Relationship Id="rId4" Type="http://schemas.openxmlformats.org/officeDocument/2006/relationships/hyperlink" Target="mailto:bsnyder@enron.com"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2001-01-30T11:12:00Z</dcterms:created>
  <dc:creator>sharrell</dc:creator>
  <dc:description/>
  <dc:language>en-CA</dc:language>
  <cp:lastModifiedBy>sharrell</cp:lastModifiedBy>
  <cp:lastPrinted>2001-01-30T16:05:00Z</cp:lastPrinted>
  <dcterms:modified xsi:type="dcterms:W3CDTF">2001-01-31T12:42:00Z</dcterms:modified>
  <cp:revision>28</cp:revision>
  <dc:subject/>
  <dc:title>Enron Energy Services</dc:title>
</cp:coreProperties>
</file>