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May 11, 2000</w:t>
      </w:r>
    </w:p>
    <w:p>
      <w:pPr>
        <w:pStyle w:val="Normal"/>
        <w:rPr>
          <w:sz w:val="24"/>
          <w:szCs w:val="24"/>
        </w:rPr>
      </w:pPr>
      <w:r>
        <w:rPr>
          <w:sz w:val="24"/>
          <w:szCs w:val="24"/>
        </w:rPr>
      </w:r>
    </w:p>
    <w:p>
      <w:pPr>
        <w:pStyle w:val="Normal"/>
        <w:rPr>
          <w:sz w:val="24"/>
          <w:szCs w:val="24"/>
        </w:rPr>
      </w:pPr>
      <w:r>
        <w:rPr>
          <w:sz w:val="24"/>
          <w:szCs w:val="24"/>
        </w:rPr>
        <w:t>Mr. Larry Soderquist, Director</w:t>
      </w:r>
    </w:p>
    <w:p>
      <w:pPr>
        <w:pStyle w:val="Normal"/>
        <w:rPr>
          <w:sz w:val="24"/>
          <w:szCs w:val="24"/>
        </w:rPr>
      </w:pPr>
      <w:r>
        <w:rPr>
          <w:sz w:val="24"/>
          <w:szCs w:val="24"/>
        </w:rPr>
        <w:t>Enron North America Corp.</w:t>
      </w:r>
    </w:p>
    <w:p>
      <w:pPr>
        <w:pStyle w:val="Normal"/>
        <w:rPr>
          <w:sz w:val="24"/>
          <w:szCs w:val="24"/>
        </w:rPr>
      </w:pPr>
      <w:r>
        <w:rPr>
          <w:sz w:val="24"/>
          <w:szCs w:val="24"/>
        </w:rPr>
        <w:t>121 SW Salmon, 3WTC0306</w:t>
      </w:r>
    </w:p>
    <w:p>
      <w:pPr>
        <w:pStyle w:val="Normal"/>
        <w:rPr>
          <w:sz w:val="24"/>
          <w:szCs w:val="24"/>
        </w:rPr>
      </w:pPr>
      <w:r>
        <w:rPr>
          <w:sz w:val="24"/>
          <w:szCs w:val="24"/>
        </w:rPr>
        <w:t>Portland, Oregon 97204</w:t>
      </w:r>
    </w:p>
    <w:p>
      <w:pPr>
        <w:pStyle w:val="Normal"/>
        <w:rPr>
          <w:sz w:val="24"/>
          <w:szCs w:val="24"/>
        </w:rPr>
      </w:pPr>
      <w:r>
        <w:rPr>
          <w:sz w:val="24"/>
          <w:szCs w:val="24"/>
        </w:rPr>
      </w:r>
    </w:p>
    <w:p>
      <w:pPr>
        <w:pStyle w:val="Normal"/>
        <w:rPr>
          <w:sz w:val="24"/>
          <w:szCs w:val="24"/>
        </w:rPr>
      </w:pPr>
      <w:r>
        <w:rPr>
          <w:sz w:val="24"/>
          <w:szCs w:val="24"/>
        </w:rPr>
        <w:t>Dear Mr. Soderquist:</w:t>
      </w:r>
    </w:p>
    <w:p>
      <w:pPr>
        <w:pStyle w:val="Normal"/>
        <w:rPr>
          <w:sz w:val="24"/>
          <w:szCs w:val="24"/>
        </w:rPr>
      </w:pPr>
      <w:r>
        <w:rPr>
          <w:sz w:val="24"/>
          <w:szCs w:val="24"/>
        </w:rPr>
      </w:r>
    </w:p>
    <w:p>
      <w:pPr>
        <w:pStyle w:val="Normal"/>
        <w:rPr>
          <w:sz w:val="24"/>
          <w:szCs w:val="24"/>
        </w:rPr>
      </w:pPr>
      <w:r>
        <w:rPr>
          <w:sz w:val="24"/>
          <w:szCs w:val="24"/>
        </w:rPr>
        <w:t>This is in reference to section 8.2 of the Interconnection Agreement numbered 00PAP-258343 between TVA and Gleason, which states (in part):</w:t>
      </w:r>
    </w:p>
    <w:p>
      <w:pPr>
        <w:pStyle w:val="Normal"/>
        <w:rPr>
          <w:sz w:val="24"/>
          <w:szCs w:val="24"/>
        </w:rPr>
      </w:pPr>
      <w:r>
        <w:rPr>
          <w:sz w:val="24"/>
          <w:szCs w:val="24"/>
        </w:rPr>
      </w:r>
    </w:p>
    <w:p>
      <w:pPr>
        <w:pStyle w:val="Normal"/>
        <w:numPr>
          <w:ilvl w:val="0"/>
          <w:numId w:val="1"/>
        </w:numPr>
        <w:tabs>
          <w:tab w:val="clear" w:pos="720"/>
          <w:tab w:val="left" w:pos="0" w:leader="none"/>
        </w:tabs>
        <w:ind w:hanging="720" w:start="720" w:end="626"/>
        <w:rPr/>
      </w:pPr>
      <w:r>
        <w:rPr>
          <w:i/>
          <w:iCs/>
          <w:sz w:val="24"/>
          <w:szCs w:val="24"/>
          <w:u w:val="single"/>
        </w:rPr>
        <w:t>Credit for Transmission Charges</w:t>
      </w:r>
      <w:r>
        <w:rPr>
          <w:i/>
          <w:iCs/>
          <w:sz w:val="24"/>
          <w:szCs w:val="24"/>
        </w:rPr>
        <w:t>.  As a result of TVA’s installing the Network Upgrades, at Gleason’s expense, under Article 4, Gleason, or upon Gleason’s designation (said designation to be provided to TVA prior to the end of the then-current Month), an eligible transmission customer purchasing Facility Electrical Output, shall receive a corresponding credit on its monthly invoice equal to any network, firm point-to-point, or non-firm point-to-point transmission services charges (exclusive of any charges for ancillary services under the Guidelines) incurred under the Guidelines for transmitting Facility Electrical Output or the amount of the credit for such transmission service purchased from TVA may be payable to another entity as designated by Gleason; .............</w:t>
      </w:r>
    </w:p>
    <w:p>
      <w:pPr>
        <w:pStyle w:val="Normal"/>
        <w:rPr>
          <w:sz w:val="24"/>
          <w:szCs w:val="24"/>
        </w:rPr>
      </w:pPr>
      <w:r>
        <w:rPr>
          <w:sz w:val="24"/>
          <w:szCs w:val="24"/>
        </w:rPr>
      </w:r>
    </w:p>
    <w:p>
      <w:pPr>
        <w:pStyle w:val="Normal"/>
        <w:rPr>
          <w:sz w:val="24"/>
          <w:szCs w:val="24"/>
        </w:rPr>
      </w:pPr>
      <w:r>
        <w:rPr>
          <w:sz w:val="24"/>
          <w:szCs w:val="24"/>
        </w:rPr>
        <w:t>Consistent with the above-referenced contract provisions, we request that Gleason specifically designate, for each month of transmission service for which a transmission credit is applicable under the Interconnection Agreement, the legal entity that it wishes to receive the monthly transmission credit on behalf of Gleason.  This also applies to cases where Enron Corporation (Gleason’s parent company), or an affiliate of Enron Corporation, is the eligible transmission customer.  In the absence of a specific designation, the credit (if applicable for the month in question) will be issued to Gleason.  For notification purposes, please direct the notices to the following:</w:t>
      </w:r>
      <w:r>
        <w:br w:type="page"/>
      </w:r>
    </w:p>
    <w:p>
      <w:pPr>
        <w:pStyle w:val="Normal"/>
        <w:rPr>
          <w:sz w:val="24"/>
          <w:szCs w:val="24"/>
        </w:rPr>
      </w:pPr>
      <w:r>
        <w:rPr>
          <w:sz w:val="24"/>
          <w:szCs w:val="24"/>
        </w:rPr>
        <w:t>Mr. Larry Soderquist</w:t>
      </w:r>
    </w:p>
    <w:p>
      <w:pPr>
        <w:pStyle w:val="Normal"/>
        <w:rPr>
          <w:sz w:val="24"/>
          <w:szCs w:val="24"/>
        </w:rPr>
      </w:pPr>
      <w:r>
        <w:rPr>
          <w:sz w:val="24"/>
          <w:szCs w:val="24"/>
        </w:rPr>
        <w:t>Page 2</w:t>
      </w:r>
    </w:p>
    <w:p>
      <w:pPr>
        <w:pStyle w:val="Normal"/>
        <w:rPr>
          <w:sz w:val="24"/>
          <w:szCs w:val="24"/>
        </w:rPr>
      </w:pPr>
      <w:r>
        <w:rPr>
          <w:sz w:val="24"/>
          <w:szCs w:val="24"/>
        </w:rPr>
        <w:t>May 11, 2000</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keepNext w:val="true"/>
        <w:keepLines/>
        <w:tabs>
          <w:tab w:val="clear" w:pos="720"/>
          <w:tab w:val="left" w:pos="-720" w:leader="none"/>
        </w:tabs>
        <w:suppressAutoHyphens w:val="true"/>
        <w:rPr>
          <w:sz w:val="24"/>
          <w:szCs w:val="24"/>
        </w:rPr>
      </w:pPr>
      <w:r>
        <w:rPr>
          <w:sz w:val="24"/>
          <w:szCs w:val="24"/>
        </w:rPr>
        <w:tab/>
        <w:t>John Gardner, Interconnection Specialist</w:t>
      </w:r>
    </w:p>
    <w:p>
      <w:pPr>
        <w:pStyle w:val="Normal"/>
        <w:keepNext w:val="true"/>
        <w:keepLines/>
        <w:tabs>
          <w:tab w:val="clear" w:pos="720"/>
          <w:tab w:val="left" w:pos="-720" w:leader="none"/>
        </w:tabs>
        <w:suppressAutoHyphens w:val="true"/>
        <w:rPr>
          <w:sz w:val="24"/>
          <w:szCs w:val="24"/>
        </w:rPr>
      </w:pPr>
      <w:r>
        <w:rPr>
          <w:sz w:val="24"/>
          <w:szCs w:val="24"/>
        </w:rPr>
        <w:tab/>
        <w:t>Tennessee Valley Authority</w:t>
      </w:r>
    </w:p>
    <w:p>
      <w:pPr>
        <w:pStyle w:val="Normal"/>
        <w:keepNext w:val="true"/>
        <w:keepLines/>
        <w:tabs>
          <w:tab w:val="clear" w:pos="720"/>
          <w:tab w:val="left" w:pos="-720" w:leader="none"/>
        </w:tabs>
        <w:suppressAutoHyphens w:val="true"/>
        <w:rPr>
          <w:sz w:val="24"/>
          <w:szCs w:val="24"/>
        </w:rPr>
      </w:pPr>
      <w:r>
        <w:rPr>
          <w:sz w:val="24"/>
          <w:szCs w:val="24"/>
        </w:rPr>
        <w:tab/>
        <w:t>1101 Market Street, MR BA</w:t>
      </w:r>
    </w:p>
    <w:p>
      <w:pPr>
        <w:pStyle w:val="Normal"/>
        <w:keepNext w:val="true"/>
        <w:keepLines/>
        <w:tabs>
          <w:tab w:val="clear" w:pos="720"/>
          <w:tab w:val="left" w:pos="-720" w:leader="none"/>
        </w:tabs>
        <w:suppressAutoHyphens w:val="true"/>
        <w:rPr>
          <w:sz w:val="24"/>
          <w:szCs w:val="24"/>
        </w:rPr>
      </w:pPr>
      <w:r>
        <w:rPr>
          <w:sz w:val="24"/>
          <w:szCs w:val="24"/>
        </w:rPr>
        <w:tab/>
        <w:t>Chattanooga, Tennessee 37402-2801</w:t>
      </w:r>
    </w:p>
    <w:p>
      <w:pPr>
        <w:pStyle w:val="Normal"/>
        <w:keepNext w:val="true"/>
        <w:keepLines/>
        <w:tabs>
          <w:tab w:val="clear" w:pos="720"/>
          <w:tab w:val="left" w:pos="-720" w:leader="none"/>
        </w:tabs>
        <w:suppressAutoHyphens w:val="true"/>
        <w:rPr>
          <w:sz w:val="24"/>
          <w:szCs w:val="24"/>
        </w:rPr>
      </w:pPr>
      <w:r>
        <w:rPr>
          <w:sz w:val="24"/>
          <w:szCs w:val="24"/>
        </w:rPr>
        <w:tab/>
        <w:t>Phone (423) 751-7741, Fax:  (423) 751-7689</w:t>
      </w:r>
    </w:p>
    <w:p>
      <w:pPr>
        <w:pStyle w:val="Normal"/>
        <w:keepNext w:val="true"/>
        <w:keepLines/>
        <w:tabs>
          <w:tab w:val="clear" w:pos="720"/>
          <w:tab w:val="left" w:pos="-720" w:leader="none"/>
        </w:tabs>
        <w:suppressAutoHyphens w:val="true"/>
        <w:rPr>
          <w:sz w:val="24"/>
          <w:szCs w:val="24"/>
        </w:rPr>
      </w:pPr>
      <w:r>
        <w:rPr>
          <w:sz w:val="24"/>
          <w:szCs w:val="24"/>
        </w:rPr>
      </w:r>
    </w:p>
    <w:p>
      <w:pPr>
        <w:pStyle w:val="Normal"/>
        <w:tabs>
          <w:tab w:val="left" w:pos="720" w:leader="none"/>
          <w:tab w:val="left" w:pos="1080" w:leader="none"/>
          <w:tab w:val="left" w:pos="2040" w:leader="none"/>
          <w:tab w:val="left" w:pos="2280" w:leader="none"/>
          <w:tab w:val="left" w:pos="4680" w:leader="none"/>
        </w:tabs>
        <w:spacing w:lineRule="atLeast" w:line="200"/>
        <w:ind w:end="1070"/>
        <w:rPr>
          <w:sz w:val="24"/>
          <w:szCs w:val="24"/>
        </w:rPr>
      </w:pPr>
      <w:r>
        <w:rPr>
          <w:sz w:val="24"/>
          <w:szCs w:val="24"/>
        </w:rPr>
        <w:tab/>
        <w:t>With a copy to:</w:t>
      </w:r>
    </w:p>
    <w:p>
      <w:pPr>
        <w:pStyle w:val="Normal"/>
        <w:rPr>
          <w:sz w:val="24"/>
          <w:szCs w:val="24"/>
        </w:rPr>
      </w:pPr>
      <w:r>
        <w:rPr>
          <w:sz w:val="24"/>
          <w:szCs w:val="24"/>
        </w:rPr>
      </w:r>
    </w:p>
    <w:p>
      <w:pPr>
        <w:pStyle w:val="Normal"/>
        <w:keepNext w:val="true"/>
        <w:keepLines/>
        <w:tabs>
          <w:tab w:val="clear" w:pos="720"/>
          <w:tab w:val="left" w:pos="-720" w:leader="none"/>
        </w:tabs>
        <w:suppressAutoHyphens w:val="true"/>
        <w:ind w:start="720" w:end="0"/>
        <w:rPr>
          <w:sz w:val="24"/>
          <w:szCs w:val="24"/>
        </w:rPr>
      </w:pPr>
      <w:r>
        <w:rPr>
          <w:sz w:val="24"/>
          <w:szCs w:val="24"/>
        </w:rPr>
        <w:t>Tennessee Valley Authority</w:t>
      </w:r>
    </w:p>
    <w:p>
      <w:pPr>
        <w:pStyle w:val="Normal"/>
        <w:keepNext w:val="true"/>
        <w:keepLines/>
        <w:tabs>
          <w:tab w:val="clear" w:pos="720"/>
          <w:tab w:val="left" w:pos="-720" w:leader="none"/>
        </w:tabs>
        <w:suppressAutoHyphens w:val="true"/>
        <w:ind w:start="720" w:end="0"/>
        <w:rPr>
          <w:sz w:val="24"/>
          <w:szCs w:val="24"/>
        </w:rPr>
      </w:pPr>
      <w:r>
        <w:rPr>
          <w:sz w:val="24"/>
          <w:szCs w:val="24"/>
        </w:rPr>
        <w:t>400 West Summit Hill Drive, WT 4A</w:t>
      </w:r>
    </w:p>
    <w:p>
      <w:pPr>
        <w:pStyle w:val="Normal"/>
        <w:keepNext w:val="true"/>
        <w:keepLines/>
        <w:tabs>
          <w:tab w:val="clear" w:pos="720"/>
          <w:tab w:val="left" w:pos="-720" w:leader="none"/>
        </w:tabs>
        <w:suppressAutoHyphens w:val="true"/>
        <w:ind w:start="720" w:end="0"/>
        <w:rPr>
          <w:sz w:val="24"/>
          <w:szCs w:val="24"/>
        </w:rPr>
      </w:pPr>
      <w:r>
        <w:rPr>
          <w:sz w:val="24"/>
          <w:szCs w:val="24"/>
        </w:rPr>
        <w:t>Knoxville, Tennessee 37902-1499</w:t>
      </w:r>
    </w:p>
    <w:p>
      <w:pPr>
        <w:pStyle w:val="Normal"/>
        <w:keepNext w:val="true"/>
        <w:keepLines/>
        <w:tabs>
          <w:tab w:val="clear" w:pos="720"/>
          <w:tab w:val="left" w:pos="-720" w:leader="none"/>
        </w:tabs>
        <w:suppressAutoHyphens w:val="true"/>
        <w:ind w:start="720" w:end="0"/>
        <w:rPr>
          <w:sz w:val="24"/>
          <w:szCs w:val="24"/>
        </w:rPr>
      </w:pPr>
      <w:r>
        <w:rPr>
          <w:sz w:val="24"/>
          <w:szCs w:val="24"/>
        </w:rPr>
        <w:t>Attention:  Interchange Revenue</w:t>
      </w:r>
    </w:p>
    <w:p>
      <w:pPr>
        <w:pStyle w:val="Normal"/>
        <w:keepNext w:val="true"/>
        <w:keepLines/>
        <w:tabs>
          <w:tab w:val="clear" w:pos="720"/>
          <w:tab w:val="left" w:pos="-720" w:leader="none"/>
        </w:tabs>
        <w:suppressAutoHyphens w:val="true"/>
        <w:ind w:start="720" w:end="0"/>
        <w:rPr>
          <w:sz w:val="24"/>
          <w:szCs w:val="24"/>
        </w:rPr>
      </w:pPr>
      <w:r>
        <w:rPr>
          <w:sz w:val="24"/>
          <w:szCs w:val="24"/>
        </w:rPr>
        <w:t>Phone (865) 632-2145, Fax (865) 632-2082</w:t>
      </w:r>
    </w:p>
    <w:p>
      <w:pPr>
        <w:pStyle w:val="Normal"/>
        <w:tabs>
          <w:tab w:val="clear" w:pos="720"/>
          <w:tab w:val="left" w:pos="-720" w:leader="none"/>
        </w:tabs>
        <w:suppressAutoHyphens w:val="true"/>
        <w:rPr>
          <w:sz w:val="24"/>
          <w:szCs w:val="24"/>
        </w:rPr>
      </w:pPr>
      <w:r>
        <w:rPr>
          <w:sz w:val="24"/>
          <w:szCs w:val="24"/>
        </w:rPr>
      </w:r>
    </w:p>
    <w:p>
      <w:pPr>
        <w:pStyle w:val="Normal"/>
        <w:keepNext w:val="true"/>
        <w:keepLines/>
        <w:tabs>
          <w:tab w:val="clear" w:pos="720"/>
          <w:tab w:val="left" w:pos="-720" w:leader="none"/>
        </w:tabs>
        <w:suppressAutoHyphens w:val="true"/>
        <w:rPr>
          <w:sz w:val="24"/>
          <w:szCs w:val="24"/>
        </w:rPr>
      </w:pPr>
      <w:r>
        <w:rPr>
          <w:sz w:val="24"/>
          <w:szCs w:val="24"/>
        </w:rPr>
      </w:r>
    </w:p>
    <w:p>
      <w:pPr>
        <w:pStyle w:val="Normal"/>
        <w:rPr>
          <w:sz w:val="24"/>
          <w:szCs w:val="24"/>
        </w:rPr>
      </w:pPr>
      <w:r>
        <w:rPr>
          <w:sz w:val="24"/>
          <w:szCs w:val="24"/>
        </w:rPr>
        <w:t>If you have any questions, please contact me at 423-751-7109.</w:t>
      </w:r>
    </w:p>
    <w:p>
      <w:pPr>
        <w:pStyle w:val="Normal"/>
        <w:rPr>
          <w:sz w:val="24"/>
          <w:szCs w:val="24"/>
        </w:rPr>
      </w:pPr>
      <w:r>
        <w:rPr>
          <w:sz w:val="24"/>
          <w:szCs w:val="24"/>
        </w:rPr>
      </w:r>
    </w:p>
    <w:p>
      <w:pPr>
        <w:pStyle w:val="Normal"/>
        <w:rPr>
          <w:sz w:val="24"/>
          <w:szCs w:val="24"/>
        </w:rPr>
      </w:pPr>
      <w:r>
        <w:rPr>
          <w:sz w:val="24"/>
          <w:szCs w:val="24"/>
        </w:rPr>
        <w:t>Sincerely,</w:t>
      </w:r>
    </w:p>
    <w:p>
      <w:pPr>
        <w:pStyle w:val="Normal"/>
        <w:rPr>
          <w:sz w:val="24"/>
          <w:szCs w:val="24"/>
        </w:rPr>
      </w:pPr>
      <w:r>
        <w:rPr>
          <w:sz w:val="24"/>
          <w:szCs w:val="24"/>
        </w:rPr>
      </w:r>
    </w:p>
    <w:p>
      <w:pPr>
        <w:pStyle w:val="Normal"/>
        <w:rPr>
          <w:sz w:val="24"/>
          <w:szCs w:val="24"/>
        </w:rPr>
      </w:pPr>
      <w:r>
        <w:rPr>
          <w:sz w:val="24"/>
          <w:szCs w:val="24"/>
        </w:rPr>
        <w:drawing>
          <wp:inline distT="0" distB="0" distL="0" distR="0">
            <wp:extent cx="1529080" cy="5149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529080" cy="514985"/>
                    </a:xfrm>
                    <a:prstGeom prst="rect">
                      <a:avLst/>
                    </a:prstGeom>
                    <a:noFill/>
                  </pic:spPr>
                </pic:pic>
              </a:graphicData>
            </a:graphic>
          </wp:inline>
        </w:drawing>
      </w:r>
    </w:p>
    <w:p>
      <w:pPr>
        <w:pStyle w:val="Normal"/>
        <w:rPr>
          <w:sz w:val="24"/>
          <w:szCs w:val="24"/>
        </w:rPr>
      </w:pPr>
      <w:r>
        <w:rPr>
          <w:sz w:val="24"/>
          <w:szCs w:val="24"/>
        </w:rPr>
      </w:r>
    </w:p>
    <w:p>
      <w:pPr>
        <w:pStyle w:val="Normal"/>
        <w:rPr>
          <w:sz w:val="24"/>
          <w:szCs w:val="24"/>
        </w:rPr>
      </w:pPr>
      <w:r>
        <w:rPr>
          <w:sz w:val="24"/>
          <w:szCs w:val="24"/>
        </w:rPr>
        <w:t>Dennis P. To</w:t>
      </w:r>
    </w:p>
    <w:p>
      <w:pPr>
        <w:pStyle w:val="Normal"/>
        <w:rPr>
          <w:sz w:val="24"/>
          <w:szCs w:val="24"/>
        </w:rPr>
      </w:pPr>
      <w:r>
        <w:rPr>
          <w:sz w:val="24"/>
          <w:szCs w:val="24"/>
        </w:rPr>
        <w:t>Transmission Strategy Specialist</w:t>
      </w:r>
    </w:p>
    <w:p>
      <w:pPr>
        <w:pStyle w:val="Normal"/>
        <w:rPr>
          <w:sz w:val="24"/>
          <w:szCs w:val="24"/>
        </w:rPr>
      </w:pPr>
      <w:r>
        <w:rPr>
          <w:sz w:val="24"/>
          <w:szCs w:val="24"/>
        </w:rPr>
        <w:t>Transmission/Power Supply</w:t>
      </w:r>
    </w:p>
    <w:p>
      <w:pPr>
        <w:pStyle w:val="Normal"/>
        <w:rPr>
          <w:sz w:val="24"/>
          <w:szCs w:val="24"/>
        </w:rPr>
      </w:pPr>
      <w:r>
        <w:rPr>
          <w:sz w:val="24"/>
          <w:szCs w:val="24"/>
        </w:rPr>
      </w:r>
    </w:p>
    <w:sectPr>
      <w:type w:val="nextPage"/>
      <w:pgSz w:w="12240" w:h="15840"/>
      <w:pgMar w:left="1930" w:right="1584" w:gutter="0" w:header="0" w:top="1440" w:footer="0" w:bottom="5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Wingdings">
    <w:altName w:val="Symbol"/>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8.%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2"/>
      <w:lang w:val="en-US" w:eastAsia="zh-CN" w:bidi="hi-IN"/>
    </w:rPr>
  </w:style>
  <w:style w:type="character" w:styleId="DefaultParagraphFont">
    <w:name w:val="Default Paragraph Font"/>
    <w:qFormat/>
    <w:rPr/>
  </w:style>
  <w:style w:type="character" w:styleId="Checkbox">
    <w:name w:val="Checkbox"/>
    <w:qFormat/>
    <w:rPr>
      <w:rFonts w:ascii="Wingdings;Symbol" w:hAnsi="Wingdings;Symbol" w:eastAsia="Wingdings;Symbol" w:cs="Wingdings;Symbol"/>
      <w:spacing w:val="0"/>
      <w:sz w:val="22"/>
      <w:szCs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pPr>
    <w:rPr>
      <w:sz w:val="24"/>
      <w:szCs w:val="24"/>
    </w:rPr>
  </w:style>
  <w:style w:type="paragraph" w:styleId="List">
    <w:name w:val="List"/>
    <w:basedOn w:val="Normal"/>
    <w:pPr>
      <w:widowControl w:val="false"/>
      <w:ind w:hanging="360" w:start="360" w:end="0"/>
    </w:pPr>
    <w:rPr>
      <w:sz w:val="24"/>
      <w:szCs w:val="24"/>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2000-05-12T11:08:00Z</dcterms:created>
  <dc:creator>Dennis To</dc:creator>
  <dc:description/>
  <dc:language>en-CA</dc:language>
  <cp:lastModifiedBy>Dennis To</cp:lastModifiedBy>
  <cp:lastPrinted>2000-05-12T07:23:00Z</cp:lastPrinted>
  <dcterms:modified xsi:type="dcterms:W3CDTF">2000-05-12T11:08:00Z</dcterms:modified>
  <cp:revision>2</cp:revision>
  <dc:subject/>
  <dc:title>Letter fm Terry Boston to Ben Jacoby</dc:title>
</cp:coreProperties>
</file>