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u w:val="none"/>
        </w:rPr>
      </w:pPr>
      <w:r>
        <w:rPr>
          <w:u w:val="none"/>
        </w:rPr>
        <w:t>Draft: 14 April 2000</w:t>
      </w:r>
    </w:p>
    <w:p>
      <w:pPr>
        <w:pStyle w:val="Normal"/>
        <w:jc w:val="end"/>
        <w:rPr>
          <w:b/>
          <w:sz w:val="22"/>
          <w:u w:val="none"/>
        </w:rPr>
      </w:pPr>
      <w:r>
        <w:rPr>
          <w:b/>
          <w:sz w:val="22"/>
          <w:u w:val="none"/>
        </w:rPr>
      </w:r>
    </w:p>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1999</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CAPITAL &amp; TRADE RESOURCES INTERNATIONAL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color w:val="808000"/>
                <w:sz w:val="22"/>
              </w:rPr>
            </w:pPr>
            <w:r>
              <w:rPr>
                <w:b/>
                <w:sz w:val="22"/>
              </w:rPr>
              <w:t>SOCIETE INDUSTRIELLE DE TRANSPORTS AUTOMOBILE S.A., a company organized under the law of France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 </w:t>
      </w:r>
    </w:p>
    <w:p>
      <w:pPr>
        <w:pStyle w:val="Normal"/>
        <w:spacing w:lineRule="exact" w:line="240" w:before="240" w:after="0"/>
        <w:ind w:start="360" w:end="0"/>
        <w:jc w:val="both"/>
        <w:rPr>
          <w:sz w:val="22"/>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Euro $50,000,000 (or its equivalent in another currency)</w:t>
      </w:r>
      <w:r>
        <w:rPr>
          <w:color w:val="000000"/>
          <w:sz w:val="22"/>
        </w:rPr>
        <w:t xml:space="preserve">; </w:t>
      </w:r>
      <w:r>
        <w:rPr>
          <w:color w:val="FF0000"/>
          <w:sz w:val="22"/>
          <w:u w:val="single"/>
        </w:rPr>
        <w:t>provided</w:t>
      </w:r>
      <w:r>
        <w:rPr>
          <w:color w:val="FF0000"/>
          <w:sz w:val="22"/>
        </w:rPr>
        <w:t xml:space="preserve">, </w:t>
      </w:r>
      <w:r>
        <w:rPr>
          <w:color w:val="FF0000"/>
          <w:sz w:val="22"/>
          <w:u w:val="single"/>
        </w:rPr>
        <w:t>that</w:t>
      </w:r>
      <w:r>
        <w:rPr>
          <w:color w:val="FF0000"/>
          <w:sz w:val="22"/>
        </w:rPr>
        <w:t>, such Threshold Amount shall apply individually and not collectively with respect to each entity set forth above notwithstanding anything to the contrary set forth in Section 5(a)(vi) of the Master Agreement</w:t>
      </w:r>
      <w:r>
        <w:rPr>
          <w:color w:val="000000"/>
          <w:sz w:val="22"/>
        </w:rPr>
        <w:t>.</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Loss 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240" w:after="0"/>
        <w:ind w:firstLine="720" w:end="0"/>
        <w:jc w:val="both"/>
        <w:rPr/>
      </w:pPr>
      <w:r>
        <w:rPr>
          <w:sz w:val="22"/>
        </w:rPr>
        <w:t>(h)</w:t>
      </w:r>
      <w:r>
        <w:rPr>
          <w:b/>
          <w:sz w:val="22"/>
        </w:rPr>
        <w:tab/>
        <w:t>“Contractual Currency”</w:t>
      </w:r>
      <w:r>
        <w:rPr>
          <w:sz w:val="22"/>
        </w:rPr>
        <w:t xml:space="preserve"> unless otherwise specified in a Confirmation, shall mean United States Dollars.</w:t>
      </w:r>
    </w:p>
    <w:p>
      <w:pPr>
        <w:pStyle w:val="Normal"/>
        <w:spacing w:lineRule="exact" w:line="240" w:before="480" w:after="0"/>
        <w:jc w:val="both"/>
        <w:rPr>
          <w:sz w:val="22"/>
        </w:rPr>
      </w:pPr>
      <w:r>
        <w:rPr>
          <w:b/>
          <w:sz w:val="22"/>
        </w:rPr>
        <w:t>Part 2.  Tax Representations.</w:t>
      </w:r>
    </w:p>
    <w:p>
      <w:pPr>
        <w:pStyle w:val="Normal"/>
        <w:spacing w:lineRule="exact" w:line="240" w:before="240" w:after="0"/>
        <w:ind w:hanging="720" w:start="720" w:end="0"/>
        <w:jc w:val="both"/>
        <w:rPr/>
      </w:pPr>
      <w:r>
        <w:rPr>
          <w:sz w:val="22"/>
        </w:rPr>
        <w:t>(a)</w:t>
      </w:r>
      <w:r>
        <w:rPr>
          <w:b/>
          <w:sz w:val="22"/>
        </w:rPr>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sz w:val="22"/>
        </w:rPr>
        <w:t>(b)</w:t>
      </w:r>
      <w:r>
        <w:rPr>
          <w:b/>
          <w:sz w:val="22"/>
        </w:rPr>
        <w:tab/>
        <w:t>Payee Representations.</w:t>
      </w:r>
      <w:r>
        <w:rPr>
          <w:sz w:val="22"/>
        </w:rPr>
        <w:t xml:space="preserve">  For the purpose of Section 3(f), Party A and Party B make the following representation:</w:t>
      </w:r>
    </w:p>
    <w:p>
      <w:pPr>
        <w:pStyle w:val="Normal"/>
        <w:spacing w:lineRule="exact" w:line="240" w:before="240" w:after="0"/>
        <w:ind w:start="720" w:end="0"/>
        <w:jc w:val="both"/>
        <w:rPr>
          <w:sz w:val="22"/>
        </w:rPr>
      </w:pPr>
      <w:r>
        <w:rPr>
          <w:sz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atLeast" w:line="240" w:before="240" w:after="0"/>
        <w:rPr/>
      </w:pPr>
      <w:r>
        <w:rPr>
          <w:color w:val="000000"/>
          <w:sz w:val="22"/>
          <w:lang w:val="en-GB"/>
        </w:rPr>
        <w:t>“</w:t>
      </w:r>
      <w:r>
        <w:rPr>
          <w:b/>
          <w:color w:val="000000"/>
          <w:sz w:val="22"/>
          <w:lang w:val="en-GB"/>
        </w:rPr>
        <w:t>Specified Treaty</w:t>
      </w:r>
      <w:r>
        <w:rPr>
          <w:color w:val="000000"/>
          <w:sz w:val="22"/>
          <w:lang w:val="en-GB"/>
        </w:rPr>
        <w:t>” means, with respect to Party A, the income tax treaty between the United States and France.</w:t>
      </w:r>
    </w:p>
    <w:p>
      <w:pPr>
        <w:pStyle w:val="Normal"/>
        <w:spacing w:lineRule="atLeast" w:line="240" w:before="240" w:after="0"/>
        <w:rPr/>
      </w:pPr>
      <w:r>
        <w:rPr>
          <w:color w:val="000000"/>
          <w:sz w:val="22"/>
          <w:lang w:val="en-GB"/>
        </w:rPr>
        <w:t>“</w:t>
      </w:r>
      <w:r>
        <w:rPr>
          <w:b/>
          <w:color w:val="000000"/>
          <w:sz w:val="22"/>
          <w:lang w:val="en-GB"/>
        </w:rPr>
        <w:t>Specified Jurisdiction</w:t>
      </w:r>
      <w:r>
        <w:rPr>
          <w:color w:val="000000"/>
          <w:sz w:val="22"/>
          <w:lang w:val="en-GB"/>
        </w:rPr>
        <w:t>” means, with respect to Party A, France.</w:t>
      </w:r>
    </w:p>
    <w:p>
      <w:pPr>
        <w:pStyle w:val="Normal"/>
        <w:spacing w:lineRule="atLeast" w:line="240" w:before="240" w:after="0"/>
        <w:rPr/>
      </w:pPr>
      <w:r>
        <w:rPr>
          <w:color w:val="000000"/>
          <w:sz w:val="22"/>
          <w:lang w:val="en-GB"/>
        </w:rPr>
        <w:t>“</w:t>
      </w:r>
      <w:r>
        <w:rPr>
          <w:b/>
          <w:color w:val="000000"/>
          <w:sz w:val="22"/>
          <w:lang w:val="en-GB"/>
        </w:rPr>
        <w:t>Specified Treaty</w:t>
      </w:r>
      <w:r>
        <w:rPr>
          <w:color w:val="000000"/>
          <w:sz w:val="22"/>
          <w:lang w:val="en-GB"/>
        </w:rPr>
        <w:t>” means, with respect to Party B, the income tax treaties between the United States and Portugal and the United Kingdom and France as the context so implies.</w:t>
      </w:r>
    </w:p>
    <w:p>
      <w:pPr>
        <w:pStyle w:val="Normal"/>
        <w:spacing w:lineRule="exact" w:line="240" w:before="240" w:after="0"/>
        <w:jc w:val="both"/>
        <w:rPr>
          <w:sz w:val="22"/>
        </w:rPr>
      </w:pPr>
      <w:r>
        <w:rPr>
          <w:color w:val="000000"/>
          <w:sz w:val="22"/>
          <w:lang w:val="en-GB"/>
        </w:rPr>
        <w:t>“</w:t>
      </w:r>
      <w:r>
        <w:rPr>
          <w:b/>
          <w:color w:val="000000"/>
          <w:sz w:val="22"/>
          <w:lang w:val="en-GB"/>
        </w:rPr>
        <w:t>Specified Jurisdiction</w:t>
      </w:r>
      <w:r>
        <w:rPr>
          <w:color w:val="000000"/>
          <w:sz w:val="22"/>
          <w:lang w:val="en-GB"/>
        </w:rPr>
        <w:t>” means, with respect to Party B, the United States and the United Kingdom as the context so implies.</w:t>
      </w:r>
    </w:p>
    <w:p>
      <w:pPr>
        <w:pStyle w:val="Normal"/>
        <w:spacing w:lineRule="exact" w:line="240" w:before="480" w:after="0"/>
        <w:jc w:val="both"/>
        <w:rPr>
          <w:sz w:val="22"/>
        </w:rPr>
      </w:pPr>
      <w:r>
        <w:rPr>
          <w:b/>
          <w:sz w:val="22"/>
        </w:rPr>
        <w:t>Part 3.  Agreement to Deliver Documents.</w:t>
      </w:r>
    </w:p>
    <w:p>
      <w:pPr>
        <w:pStyle w:val="Norma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spacing w:lineRule="exact" w:line="240" w:before="240" w:after="0"/>
        <w:ind w:start="720" w:end="0"/>
        <w:jc w:val="both"/>
        <w:rPr>
          <w:sz w:val="22"/>
        </w:rPr>
      </w:pPr>
      <w:r>
        <w:rPr>
          <w:sz w:val="22"/>
        </w:rPr>
        <w:t>(a)</w:t>
        <w:tab/>
        <w:t>Tax forms, documents, or certificates to be delivered are: 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Internal Revenue Service Form W-8, 1001 and/or 4224 and appropriate successor forms thereto.</w:t>
      </w:r>
    </w:p>
    <w:p>
      <w:pPr>
        <w:pStyle w:val="BodyTextIndent2"/>
        <w:widowControl/>
        <w:tabs>
          <w:tab w:val="clear" w:pos="1350"/>
        </w:tabs>
        <w:spacing w:lineRule="exact" w:line="240" w:before="240" w:after="0"/>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b/>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Documents specified in Part 4(d)</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Quarterly Unaudited Consolidated Financial Statement of Party B</w:t>
            </w:r>
          </w:p>
        </w:tc>
        <w:tc>
          <w:tcPr>
            <w:tcW w:w="2340" w:type="dxa"/>
            <w:tcBorders/>
          </w:tcPr>
          <w:p>
            <w:pPr>
              <w:pStyle w:val="Normal"/>
              <w:spacing w:lineRule="atLeast" w:line="240" w:before="240" w:after="0"/>
              <w:jc w:val="both"/>
              <w:rPr>
                <w:sz w:val="22"/>
              </w:rPr>
            </w:pPr>
            <w:r>
              <w:rPr>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color w:val="808000"/>
                <w:sz w:val="22"/>
              </w:rPr>
            </w:pPr>
            <w:r>
              <w:rPr>
                <w:sz w:val="22"/>
              </w:rPr>
              <w:t>Legal opinion in form and substance of Attachment 1 hereto</w:t>
            </w:r>
            <w:r>
              <w:rPr>
                <w:color w:val="0000FF"/>
                <w:sz w:val="22"/>
              </w:rPr>
              <w:t xml:space="preserve"> </w:t>
            </w:r>
          </w:p>
        </w:tc>
        <w:tc>
          <w:tcPr>
            <w:tcW w:w="2340" w:type="dxa"/>
            <w:tcBorders/>
          </w:tcPr>
          <w:p>
            <w:pPr>
              <w:pStyle w:val="Normal"/>
              <w:spacing w:lineRule="atLeast" w:line="240" w:before="240" w:after="0"/>
              <w:jc w:val="both"/>
              <w:rPr>
                <w:sz w:val="22"/>
              </w:rPr>
            </w:pPr>
            <w:r>
              <w:rPr>
                <w:sz w:val="22"/>
              </w:rPr>
              <w:t>At execution of this Master Agreement</w:t>
            </w:r>
          </w:p>
        </w:tc>
        <w:tc>
          <w:tcPr>
            <w:tcW w:w="1926" w:type="dxa"/>
            <w:tcBorders/>
          </w:tcPr>
          <w:p>
            <w:pPr>
              <w:pStyle w:val="Normal"/>
              <w:spacing w:lineRule="atLeast" w:line="240" w:before="240" w:after="0"/>
              <w:jc w:val="both"/>
              <w:rPr>
                <w:sz w:val="22"/>
              </w:rPr>
            </w:pPr>
            <w:r>
              <w:rPr>
                <w:sz w:val="22"/>
              </w:rPr>
              <w:t>No</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889" w:type="dxa"/>
        <w:jc w:val="start"/>
        <w:tblInd w:w="0" w:type="dxa"/>
        <w:tblLayout w:type="fixed"/>
        <w:tblCellMar>
          <w:top w:w="0" w:type="dxa"/>
          <w:start w:w="108" w:type="dxa"/>
          <w:bottom w:w="0" w:type="dxa"/>
          <w:end w:w="108" w:type="dxa"/>
        </w:tblCellMar>
      </w:tblPr>
      <w:tblGrid>
        <w:gridCol w:w="2088"/>
        <w:gridCol w:w="4257"/>
        <w:gridCol w:w="3544"/>
      </w:tblGrid>
      <w:tr>
        <w:trPr/>
        <w:tc>
          <w:tcPr>
            <w:tcW w:w="2088" w:type="dxa"/>
            <w:tcBorders/>
          </w:tcPr>
          <w:p>
            <w:pPr>
              <w:pStyle w:val="Normal"/>
              <w:keepNext w:val="true"/>
              <w:tabs>
                <w:tab w:val="clear" w:pos="720"/>
                <w:tab w:val="left" w:pos="2880" w:leader="none"/>
                <w:tab w:val="left" w:pos="4320" w:leader="none"/>
                <w:tab w:val="left" w:pos="9360" w:leader="none"/>
              </w:tabs>
              <w:spacing w:lineRule="exac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exact" w:line="240"/>
              <w:jc w:val="both"/>
              <w:rPr>
                <w:sz w:val="22"/>
              </w:rPr>
            </w:pPr>
            <w:r>
              <w:rPr>
                <w:sz w:val="22"/>
              </w:rPr>
            </w:r>
          </w:p>
          <w:p>
            <w:pPr>
              <w:pStyle w:val="Normal"/>
              <w:keepNext w:val="true"/>
              <w:tabs>
                <w:tab w:val="clear" w:pos="720"/>
                <w:tab w:val="left" w:pos="2880" w:leader="none"/>
                <w:tab w:val="left" w:pos="9360" w:leader="none"/>
              </w:tabs>
              <w:spacing w:lineRule="exact" w:line="240"/>
              <w:jc w:val="both"/>
              <w:rPr>
                <w:sz w:val="22"/>
              </w:rPr>
            </w:pPr>
            <w:r>
              <w:rPr>
                <w:sz w:val="22"/>
              </w:rPr>
            </w:r>
          </w:p>
          <w:p>
            <w:pPr>
              <w:pStyle w:val="Normal"/>
              <w:keepNext w:val="true"/>
              <w:tabs>
                <w:tab w:val="clear" w:pos="720"/>
                <w:tab w:val="left" w:pos="2880" w:leader="none"/>
                <w:tab w:val="left" w:pos="9360" w:leader="none"/>
              </w:tabs>
              <w:spacing w:lineRule="exac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exac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257" w:type="dxa"/>
            <w:tcBorders/>
          </w:tcPr>
          <w:p>
            <w:pPr>
              <w:pStyle w:val="Normal"/>
              <w:tabs>
                <w:tab w:val="clear" w:pos="720"/>
                <w:tab w:val="left" w:pos="4230" w:leader="none"/>
                <w:tab w:val="left" w:pos="9360" w:leader="none"/>
              </w:tabs>
              <w:spacing w:lineRule="exact" w:line="240"/>
              <w:jc w:val="both"/>
              <w:rPr>
                <w:sz w:val="22"/>
              </w:rPr>
            </w:pPr>
            <w:r>
              <w:rPr>
                <w:sz w:val="22"/>
              </w:rPr>
              <w:t>Enron Capital &amp; Trade Resources International Corp.</w:t>
            </w:r>
          </w:p>
          <w:p>
            <w:pPr>
              <w:pStyle w:val="Justified"/>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c/o Enron Europe Finance &amp; Trading Limited</w:t>
            </w:r>
          </w:p>
          <w:p>
            <w:pPr>
              <w:pStyle w:val="Normal"/>
              <w:tabs>
                <w:tab w:val="clear" w:pos="720"/>
                <w:tab w:val="left" w:pos="4230" w:leader="none"/>
                <w:tab w:val="left" w:pos="9360" w:leader="none"/>
              </w:tabs>
              <w:spacing w:lineRule="exact" w:line="240"/>
              <w:jc w:val="both"/>
              <w:rPr>
                <w:sz w:val="22"/>
              </w:rPr>
            </w:pPr>
            <w:r>
              <w:rPr>
                <w:sz w:val="22"/>
              </w:rPr>
              <w:t>Enron House</w:t>
            </w:r>
          </w:p>
          <w:p>
            <w:pPr>
              <w:pStyle w:val="Normal"/>
              <w:tabs>
                <w:tab w:val="clear" w:pos="720"/>
                <w:tab w:val="left" w:pos="4230" w:leader="none"/>
                <w:tab w:val="left" w:pos="9360" w:leader="none"/>
              </w:tabs>
              <w:spacing w:lineRule="exact" w:line="240"/>
              <w:jc w:val="both"/>
              <w:rPr>
                <w:sz w:val="22"/>
              </w:rPr>
            </w:pPr>
            <w:r>
              <w:rPr>
                <w:sz w:val="22"/>
              </w:rPr>
              <w:t>40 Grosvenor Place</w:t>
            </w:r>
          </w:p>
          <w:p>
            <w:pPr>
              <w:pStyle w:val="Normal"/>
              <w:tabs>
                <w:tab w:val="clear" w:pos="720"/>
                <w:tab w:val="left" w:pos="4230" w:leader="none"/>
                <w:tab w:val="left" w:pos="9360" w:leader="none"/>
              </w:tabs>
              <w:spacing w:lineRule="exact" w:line="240"/>
              <w:jc w:val="both"/>
              <w:rPr>
                <w:sz w:val="22"/>
              </w:rPr>
            </w:pPr>
            <w:r>
              <w:rPr>
                <w:sz w:val="22"/>
              </w:rPr>
              <w:t>London  SW1X 7EN</w:t>
            </w:r>
          </w:p>
          <w:p>
            <w:pPr>
              <w:pStyle w:val="Justified"/>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544"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44 207 783 8917</w:t>
            </w:r>
          </w:p>
          <w:p>
            <w:pPr>
              <w:pStyle w:val="Normal"/>
              <w:tabs>
                <w:tab w:val="clear" w:pos="720"/>
                <w:tab w:val="left" w:pos="4230" w:leader="none"/>
                <w:tab w:val="left" w:pos="9360" w:leader="none"/>
              </w:tabs>
              <w:spacing w:lineRule="exact" w:line="240"/>
              <w:ind w:start="72" w:end="0"/>
              <w:jc w:val="both"/>
              <w:rPr>
                <w:sz w:val="22"/>
              </w:rPr>
            </w:pPr>
            <w:r>
              <w:rPr>
                <w:sz w:val="22"/>
              </w:rPr>
              <w:t>Telephone No.:  44 207 783 0000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North America Corp., Attention:  Corporate Secretary at P.O. Box 4428, Houston, Texas  77210-4428 (Street address: 1400 Smith Street, Houston, Texas  77002)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r>
        <w:br w:type="page"/>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Societe Industrielle de Transports Automobiles S.A.</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r>
          </w:p>
          <w:p>
            <w:pPr>
              <w:pStyle w:val="Normal"/>
              <w:keepNext w:val="true"/>
              <w:tabs>
                <w:tab w:val="clear" w:pos="720"/>
                <w:tab w:val="left" w:pos="3762" w:leader="none"/>
                <w:tab w:val="left" w:pos="4230" w:leader="none"/>
                <w:tab w:val="left" w:pos="9360" w:leader="none"/>
              </w:tabs>
              <w:spacing w:lineRule="exact" w:line="240"/>
              <w:jc w:val="both"/>
              <w:rPr/>
            </w:pPr>
            <w:r>
              <w:rPr>
                <w:sz w:val="22"/>
              </w:rPr>
              <w:t>[</w:t>
            </w:r>
            <w:r>
              <w:rPr>
                <w:b/>
                <w:sz w:val="22"/>
              </w:rPr>
              <w:t>PLEASE SPECIFY]</w:t>
            </w:r>
          </w:p>
          <w:p>
            <w:pPr>
              <w:pStyle w:val="Normal"/>
              <w:keepNext w:val="true"/>
              <w:tabs>
                <w:tab w:val="clear" w:pos="720"/>
                <w:tab w:val="left" w:pos="3762" w:leader="none"/>
                <w:tab w:val="left" w:pos="4230" w:leader="none"/>
                <w:tab w:val="left" w:pos="9360" w:leader="none"/>
              </w:tabs>
              <w:spacing w:lineRule="exact" w:line="240"/>
              <w:jc w:val="both"/>
              <w:rPr>
                <w:b/>
                <w:sz w:val="22"/>
              </w:rPr>
            </w:pPr>
            <w:r>
              <w:rPr>
                <w:b/>
                <w:sz w:val="22"/>
              </w:rPr>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Facsimile No.:  </w:t>
            </w:r>
            <w:r>
              <w:rPr>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Telephone No.:  </w:t>
            </w:r>
            <w:r>
              <w:rPr>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laws of England and Wales.</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tabs>
          <w:tab w:val="left" w:pos="720" w:leader="none"/>
        </w:tabs>
        <w:spacing w:lineRule="exact" w:line="240" w:before="240" w:after="0"/>
        <w:ind w:firstLine="720" w:start="720" w:end="0"/>
        <w:jc w:val="both"/>
        <w:rPr/>
      </w:pPr>
      <w:r>
        <w:rPr>
          <w:sz w:val="22"/>
        </w:rPr>
        <w:t>(b)</w:t>
        <w:tab/>
      </w:r>
      <w:r>
        <w:rPr>
          <w:b/>
          <w:sz w:val="22"/>
        </w:rPr>
        <w:t xml:space="preserve">Jurisdiction. </w:t>
      </w:r>
      <w:r>
        <w:rPr>
          <w:sz w:val="22"/>
        </w:rPr>
        <w:t xml:space="preserve"> Each of the parties irrevocably submits to the jurisdiction of English courts over any suit, action or proceeding arising out of or relating to this Agreement (“Proceedings”).  Each of the parties hereto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such party.</w:t>
      </w:r>
    </w:p>
    <w:p>
      <w:pPr>
        <w:pStyle w:val="Normal"/>
        <w:ind w:hanging="720" w:start="720" w:end="0"/>
        <w:jc w:val="both"/>
        <w:rPr>
          <w:sz w:val="22"/>
        </w:rPr>
      </w:pPr>
      <w:r>
        <w:rPr>
          <w:sz w:val="22"/>
        </w:rPr>
      </w:r>
    </w:p>
    <w:p>
      <w:pPr>
        <w:pStyle w:val="Normal"/>
        <w:spacing w:lineRule="exact" w:line="240" w:before="240" w:after="0"/>
        <w:ind w:firstLine="720" w:end="0"/>
        <w:jc w:val="both"/>
        <w:rPr/>
      </w:pPr>
      <w:r>
        <w:rPr>
          <w:sz w:val="22"/>
        </w:rPr>
        <w:t>(j)</w:t>
        <w:tab/>
      </w:r>
      <w:r>
        <w:rPr>
          <w:b/>
          <w:sz w:val="22"/>
        </w:rPr>
        <w:t>Process Agent.</w:t>
      </w:r>
      <w:r>
        <w:rPr>
          <w:sz w:val="22"/>
        </w:rPr>
        <w:t xml:space="preserve"> For the purpose of Section 13(c):  Party A appoints as its Process Agent, Enron Europe Finance &amp; Trading Limited, Enron House, 40 Grosvenor Place, London  SW1X 7EN; Party B appoints as its Process Agent, </w:t>
      </w:r>
      <w:r>
        <w:rPr>
          <w:color w:val="FF0000"/>
          <w:sz w:val="22"/>
        </w:rPr>
        <w:t>[</w:t>
      </w:r>
      <w:r>
        <w:rPr>
          <w:sz w:val="22"/>
        </w:rPr>
        <w:t>_____________</w:t>
      </w:r>
      <w:r>
        <w:rPr>
          <w:color w:val="FF0000"/>
          <w:sz w:val="22"/>
        </w:rPr>
        <w:t>]</w:t>
      </w:r>
      <w:r>
        <w:rPr>
          <w:sz w:val="22"/>
        </w:rPr>
        <w:t xml:space="preserve">, having an office in </w:t>
      </w:r>
      <w:r>
        <w:rPr>
          <w:color w:val="FF0000"/>
          <w:sz w:val="22"/>
        </w:rPr>
        <w:t>[</w:t>
      </w:r>
      <w:r>
        <w:rPr>
          <w:sz w:val="22"/>
        </w:rPr>
        <w:t>______________</w:t>
      </w:r>
      <w:r>
        <w:rPr>
          <w:color w:val="FF0000"/>
          <w:sz w:val="22"/>
        </w:rPr>
        <w:t>]</w:t>
      </w:r>
      <w:r>
        <w:rPr>
          <w:sz w:val="22"/>
        </w:rPr>
        <w:t xml:space="preserve"> on the date of this Agreement at </w:t>
      </w:r>
      <w:r>
        <w:rPr>
          <w:color w:val="FF0000"/>
          <w:sz w:val="22"/>
        </w:rPr>
        <w:t>[</w:t>
      </w:r>
      <w:r>
        <w:rPr>
          <w:sz w:val="22"/>
        </w:rPr>
        <w:t>______________</w:t>
      </w:r>
      <w:r>
        <w:rPr>
          <w:color w:val="FF0000"/>
          <w:sz w:val="22"/>
        </w:rPr>
        <w:t>]</w:t>
      </w:r>
      <w:r>
        <w:rPr>
          <w:sz w:val="22"/>
        </w:rPr>
        <w:t>.</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(j)</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provided that such transfer will not give rise to a Termination Event or an Event of Default.”</w:t>
      </w:r>
    </w:p>
    <w:p>
      <w:pPr>
        <w:pStyle w:val="Norma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rPr>
        <w:t>(m)</w:t>
        <w:tab/>
      </w:r>
      <w:r>
        <w:rPr>
          <w:b/>
          <w:sz w:val="22"/>
        </w:rPr>
        <w:t>Escrow.</w:t>
      </w:r>
      <w:r>
        <w:rPr>
          <w:sz w:val="22"/>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p>
    <w:p>
      <w:pPr>
        <w:pStyle w:val="Justified"/>
        <w:widowControl/>
        <w:spacing w:lineRule="exact" w:line="240" w:before="0" w:after="0"/>
        <w:rPr>
          <w:rFonts w:ascii="Times New Roman" w:hAnsi="Times New Roman" w:cs="Times New Roman"/>
          <w:sz w:val="22"/>
        </w:rPr>
      </w:pPr>
      <w:r>
        <w:rPr>
          <w:rFonts w:cs="Times New Roman" w:ascii="Times New Roman" w:hAnsi="Times New Roman"/>
          <w:sz w:val="22"/>
        </w:rPr>
      </w:r>
    </w:p>
    <w:p>
      <w:pPr>
        <w:pStyle w:val="BodyText"/>
        <w:widowControl/>
        <w:ind w:firstLine="720" w:end="0"/>
        <w:jc w:val="both"/>
        <w:rPr/>
      </w:pPr>
      <w:r>
        <w:rPr/>
        <w:t>(q)</w:t>
        <w:tab/>
      </w:r>
      <w:r>
        <w:rPr>
          <w:b/>
        </w:rPr>
        <w:t>European Monetary Union.</w:t>
      </w:r>
      <w:r>
        <w:rPr/>
        <w:t xml:space="preserve">  The provisions of Annexes 1 to 5 (inclusive) of the EMU Protocol, published by ISDA on May 6, 1998, are hereby incorporated in this Agreement.</w:t>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Normal"/>
        <w:ind w:firstLine="720" w:start="1440" w:end="720"/>
        <w:jc w:val="both"/>
        <w:rPr>
          <w:sz w:val="22"/>
        </w:rPr>
      </w:pPr>
      <w:r>
        <w:rPr>
          <w:sz w:val="22"/>
        </w:rPr>
        <w:t>(i)</w:t>
        <w:tab/>
        <w:t>“Postponement”, with three (3) Commodity Business Days as the Maximum Days of Disruption;</w:t>
      </w:r>
    </w:p>
    <w:p>
      <w:pPr>
        <w:pStyle w:val="Normal"/>
        <w:ind w:firstLine="720" w:start="1440" w:end="720"/>
        <w:jc w:val="both"/>
        <w:rPr>
          <w:sz w:val="22"/>
        </w:rPr>
      </w:pPr>
      <w:r>
        <w:rPr>
          <w:sz w:val="22"/>
        </w:rPr>
      </w:r>
    </w:p>
    <w:p>
      <w:pPr>
        <w:pStyle w:val="Normal"/>
        <w:ind w:firstLine="720" w:start="1440" w:end="720"/>
        <w:jc w:val="both"/>
        <w:rPr>
          <w:sz w:val="22"/>
        </w:rPr>
      </w:pPr>
      <w:r>
        <w:rPr>
          <w:sz w:val="22"/>
        </w:rPr>
        <w:t>(ii)</w:t>
        <w:tab/>
        <w:t>“Fallback Reference Price” (if the relevant parties have specified an alternate Commodity Reference Price in the Confirmation);</w:t>
      </w:r>
    </w:p>
    <w:p>
      <w:pPr>
        <w:pStyle w:val="Normal"/>
        <w:ind w:firstLine="720" w:start="1440" w:end="720"/>
        <w:jc w:val="both"/>
        <w:rPr>
          <w:sz w:val="22"/>
        </w:rPr>
      </w:pPr>
      <w:r>
        <w:rPr>
          <w:sz w:val="22"/>
        </w:rPr>
      </w:r>
    </w:p>
    <w:p>
      <w:pPr>
        <w:pStyle w:val="Normal"/>
        <w:ind w:firstLine="720" w:start="1440" w:end="720"/>
        <w:jc w:val="both"/>
        <w:rPr>
          <w:sz w:val="22"/>
        </w:rPr>
      </w:pPr>
      <w:r>
        <w:rPr>
          <w:sz w:val="22"/>
        </w:rPr>
        <w:t>(iii)</w:t>
        <w:tab/>
        <w:t>“Negotiated Fallback” (provided that the reference in Section 7.5(c)(ii) to “fifth Business Day” shall be amended to be “twelfth Business Day”); and</w:t>
      </w:r>
    </w:p>
    <w:p>
      <w:pPr>
        <w:pStyle w:val="Normal"/>
        <w:ind w:firstLine="720" w:start="1440" w:end="720"/>
        <w:jc w:val="both"/>
        <w:rPr>
          <w:sz w:val="22"/>
        </w:rPr>
      </w:pPr>
      <w:r>
        <w:rPr>
          <w:sz w:val="22"/>
        </w:rPr>
      </w:r>
    </w:p>
    <w:p>
      <w:pPr>
        <w:pStyle w:val="Normal"/>
        <w:ind w:start="1440" w:end="0"/>
        <w:jc w:val="both"/>
        <w:rPr>
          <w:sz w:val="22"/>
        </w:rPr>
      </w:pPr>
      <w:r>
        <w:rPr>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jc w:val="both"/>
        <w:rPr>
          <w:sz w:val="22"/>
        </w:rPr>
      </w:pPr>
      <w:r>
        <w:rPr>
          <w:sz w:val="22"/>
        </w:rPr>
      </w:r>
    </w:p>
    <w:p>
      <w:pPr>
        <w:pStyle w:val="Normal"/>
        <w:ind w:firstLine="720" w:end="0"/>
        <w:jc w:val="both"/>
        <w:rPr/>
      </w:pPr>
      <w:r>
        <w:rPr>
          <w:sz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rPr>
        <w:t>."</w:t>
      </w:r>
    </w:p>
    <w:p>
      <w:pPr>
        <w:pStyle w:val="Header"/>
        <w:widowControl/>
        <w:rPr>
          <w:color w:val="000000"/>
          <w:sz w:val="22"/>
        </w:rPr>
      </w:pPr>
      <w:r>
        <w:rPr>
          <w:color w:val="000000"/>
          <w:sz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rPr>
            </w:pPr>
            <w:r>
              <w:rPr>
                <w:b/>
                <w:sz w:val="22"/>
              </w:rPr>
              <w:t>ENRON CAPITAL &amp; TRADE RESOUCES INTERNATIONAL CORP.</w:t>
            </w:r>
          </w:p>
          <w:p>
            <w:pPr>
              <w:pStyle w:val="Normal"/>
              <w:keepNext w:val="true"/>
              <w:spacing w:lineRule="exact" w:line="240"/>
              <w:jc w:val="both"/>
              <w:rPr>
                <w:color w:val="FF0000"/>
                <w:sz w:val="22"/>
              </w:rPr>
            </w:pPr>
            <w:r>
              <w:rPr>
                <w:color w:val="FF0000"/>
                <w:sz w:val="22"/>
              </w:rPr>
            </w:r>
          </w:p>
          <w:p>
            <w:pPr>
              <w:pStyle w:val="Normal"/>
              <w:keepNext w:val="true"/>
              <w:spacing w:lineRule="exact" w:line="240"/>
              <w:jc w:val="both"/>
              <w:rPr>
                <w:sz w:val="22"/>
                <w:u w:val="single"/>
              </w:rPr>
            </w:pPr>
            <w:r>
              <w:rPr>
                <w:sz w:val="22"/>
              </w:rPr>
              <w:t>By:</w:t>
              <w:tab/>
              <w:t>Enron Europe Finance &amp; Trading Limited</w:t>
            </w:r>
          </w:p>
          <w:p>
            <w:pPr>
              <w:pStyle w:val="Normal"/>
              <w:keepNext w:val="true"/>
              <w:spacing w:lineRule="exact" w:line="240"/>
              <w:jc w:val="both"/>
              <w:rPr>
                <w:sz w:val="22"/>
                <w:u w:val="single"/>
              </w:rPr>
            </w:pPr>
            <w:r>
              <w:rPr>
                <w:sz w:val="22"/>
                <w:u w:val="single"/>
              </w:rPr>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b/>
                <w:sz w:val="22"/>
              </w:rPr>
            </w:pPr>
            <w:r>
              <w:rPr>
                <w:b/>
                <w:sz w:val="22"/>
              </w:rPr>
              <w:t>SOCIETE INDUSTRIELLE DE</w:t>
            </w:r>
          </w:p>
          <w:p>
            <w:pPr>
              <w:pStyle w:val="Normal"/>
              <w:keepNext w:val="true"/>
              <w:spacing w:lineRule="exact" w:line="240"/>
              <w:jc w:val="both"/>
              <w:rPr>
                <w:b/>
                <w:sz w:val="22"/>
              </w:rPr>
            </w:pPr>
            <w:r>
              <w:rPr>
                <w:b/>
                <w:sz w:val="22"/>
              </w:rPr>
              <w:t>TRANSPORTS AUTOMOBILES S.A.</w:t>
            </w:r>
          </w:p>
          <w:p>
            <w:pPr>
              <w:pStyle w:val="Normal"/>
              <w:keepNext w:val="true"/>
              <w:spacing w:lineRule="exact" w:line="240"/>
              <w:jc w:val="both"/>
              <w:rPr>
                <w:b/>
                <w:sz w:val="22"/>
              </w:rPr>
            </w:pPr>
            <w:r>
              <w:rPr>
                <w:b/>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u w:val="single"/>
              </w:rPr>
            </w:pPr>
            <w:r>
              <w:rPr>
                <w:sz w:val="22"/>
                <w:u w:val="single"/>
              </w:rPr>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 w:val="left" w:pos="2880" w:leader="none"/>
        </w:tabs>
        <w:spacing w:lineRule="exact" w:line="240"/>
        <w:ind w:hanging="2880" w:start="2880" w:end="0"/>
        <w:jc w:val="both"/>
        <w:rPr>
          <w:color w:val="0000FF"/>
          <w:sz w:val="22"/>
        </w:rPr>
      </w:pPr>
      <w:r>
        <w:rPr>
          <w:color w:val="0000FF"/>
          <w:sz w:val="22"/>
        </w:rPr>
        <w:t>ATTACHMENT 1</w:t>
        <w:tab/>
        <w:t>FORM OF LEGAL OPINION (PARTY B)</w:t>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pStyle w:val="Normal"/>
        <w:keepNext w:val="true"/>
        <w:jc w:val="center"/>
        <w:rPr>
          <w:b/>
          <w:color w:val="0000FF"/>
          <w:sz w:val="22"/>
        </w:rPr>
      </w:pPr>
      <w:r>
        <w:rPr>
          <w:b/>
          <w:color w:val="0000FF"/>
          <w:sz w:val="22"/>
        </w:rPr>
        <w:t>ATTACHMENT 1</w:t>
      </w:r>
    </w:p>
    <w:p>
      <w:pPr>
        <w:pStyle w:val="Normal"/>
        <w:keepNext w:val="true"/>
        <w:jc w:val="end"/>
        <w:rPr>
          <w:b/>
          <w:color w:val="0000FF"/>
          <w:sz w:val="22"/>
        </w:rPr>
      </w:pPr>
      <w:r>
        <w:rPr>
          <w:b/>
          <w:color w:val="0000FF"/>
          <w:sz w:val="22"/>
        </w:rPr>
      </w:r>
    </w:p>
    <w:p>
      <w:pPr>
        <w:pStyle w:val="Normal"/>
        <w:jc w:val="end"/>
        <w:rPr>
          <w:color w:val="0000FF"/>
          <w:sz w:val="22"/>
        </w:rPr>
      </w:pPr>
      <w:r>
        <w:rPr>
          <w:color w:val="0000FF"/>
          <w:sz w:val="22"/>
        </w:rPr>
      </w:r>
    </w:p>
    <w:p>
      <w:pPr>
        <w:pStyle w:val="Heading1"/>
        <w:ind w:hanging="0" w:start="0"/>
        <w:rPr/>
      </w:pPr>
      <w:r>
        <w:rPr/>
        <w:t>LEGAL OPINION</w:t>
      </w:r>
    </w:p>
    <w:p>
      <w:pPr>
        <w:pStyle w:val="Normal"/>
        <w:rPr>
          <w:color w:val="0000FF"/>
          <w:sz w:val="22"/>
        </w:rPr>
      </w:pPr>
      <w:r>
        <w:rPr>
          <w:color w:val="0000FF"/>
          <w:sz w:val="22"/>
        </w:rPr>
      </w:r>
    </w:p>
    <w:p>
      <w:pPr>
        <w:pStyle w:val="Normal"/>
        <w:jc w:val="center"/>
        <w:rPr>
          <w:color w:val="0000FF"/>
          <w:sz w:val="22"/>
        </w:rPr>
      </w:pPr>
      <w:r>
        <w:rPr>
          <w:color w:val="0000FF"/>
          <w:sz w:val="22"/>
        </w:rPr>
        <w:t>[Letterhead of</w:t>
      </w:r>
    </w:p>
    <w:p>
      <w:pPr>
        <w:pStyle w:val="Normal"/>
        <w:jc w:val="center"/>
        <w:rPr>
          <w:color w:val="0000FF"/>
          <w:sz w:val="22"/>
        </w:rPr>
      </w:pPr>
      <w:r>
        <w:rPr>
          <w:color w:val="0000FF"/>
          <w:sz w:val="22"/>
        </w:rPr>
        <w:t>Counsel to Counterparty]</w:t>
      </w:r>
    </w:p>
    <w:p>
      <w:pPr>
        <w:pStyle w:val="Normal"/>
        <w:jc w:val="center"/>
        <w:rPr>
          <w:color w:val="0000FF"/>
          <w:sz w:val="22"/>
        </w:rPr>
      </w:pPr>
      <w:r>
        <w:rPr>
          <w:color w:val="0000FF"/>
          <w:sz w:val="22"/>
        </w:rPr>
      </w:r>
    </w:p>
    <w:p>
      <w:pPr>
        <w:pStyle w:val="Normal"/>
        <w:jc w:val="center"/>
        <w:rPr>
          <w:color w:val="0000FF"/>
          <w:sz w:val="22"/>
        </w:rPr>
      </w:pPr>
      <w:r>
        <w:rPr>
          <w:color w:val="0000FF"/>
          <w:sz w:val="22"/>
        </w:rPr>
      </w:r>
    </w:p>
    <w:p>
      <w:pPr>
        <w:pStyle w:val="Normal"/>
        <w:jc w:val="center"/>
        <w:rPr>
          <w:color w:val="0000FF"/>
          <w:sz w:val="22"/>
        </w:rPr>
      </w:pPr>
      <w:r>
        <w:rPr>
          <w:color w:val="0000FF"/>
          <w:sz w:val="22"/>
        </w:rPr>
        <w:t>[Date]</w:t>
      </w:r>
    </w:p>
    <w:p>
      <w:pPr>
        <w:pStyle w:val="Normal"/>
        <w:jc w:val="center"/>
        <w:rPr>
          <w:color w:val="0000FF"/>
          <w:sz w:val="22"/>
        </w:rPr>
      </w:pPr>
      <w:r>
        <w:rPr>
          <w:color w:val="0000FF"/>
          <w:sz w:val="22"/>
        </w:rPr>
      </w:r>
    </w:p>
    <w:p>
      <w:pPr>
        <w:pStyle w:val="Normal"/>
        <w:jc w:val="center"/>
        <w:rPr>
          <w:color w:val="0000FF"/>
          <w:sz w:val="22"/>
        </w:rPr>
      </w:pPr>
      <w:r>
        <w:rPr>
          <w:color w:val="0000FF"/>
          <w:sz w:val="22"/>
        </w:rPr>
      </w:r>
    </w:p>
    <w:p>
      <w:pPr>
        <w:pStyle w:val="Normal"/>
        <w:tabs>
          <w:tab w:val="clear" w:pos="720"/>
          <w:tab w:val="left" w:pos="4230" w:leader="none"/>
          <w:tab w:val="left" w:pos="9360" w:leader="none"/>
        </w:tabs>
        <w:spacing w:lineRule="exact" w:line="240"/>
        <w:jc w:val="both"/>
        <w:rPr>
          <w:sz w:val="22"/>
        </w:rPr>
      </w:pPr>
      <w:r>
        <w:rPr>
          <w:sz w:val="22"/>
        </w:rPr>
        <w:t>Enron Capital &amp; Trade Resources International Corp.</w:t>
      </w:r>
    </w:p>
    <w:p>
      <w:pPr>
        <w:pStyle w:val="Justified"/>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c/o Enron Europe Finance &amp; Trading Limited</w:t>
      </w:r>
    </w:p>
    <w:p>
      <w:pPr>
        <w:pStyle w:val="Normal"/>
        <w:tabs>
          <w:tab w:val="clear" w:pos="720"/>
          <w:tab w:val="left" w:pos="4230" w:leader="none"/>
          <w:tab w:val="left" w:pos="9360" w:leader="none"/>
        </w:tabs>
        <w:spacing w:lineRule="exact" w:line="240"/>
        <w:jc w:val="both"/>
        <w:rPr>
          <w:sz w:val="22"/>
        </w:rPr>
      </w:pPr>
      <w:r>
        <w:rPr>
          <w:sz w:val="22"/>
        </w:rPr>
        <w:t>Enron House</w:t>
      </w:r>
    </w:p>
    <w:p>
      <w:pPr>
        <w:pStyle w:val="Normal"/>
        <w:tabs>
          <w:tab w:val="clear" w:pos="720"/>
          <w:tab w:val="left" w:pos="4230" w:leader="none"/>
          <w:tab w:val="left" w:pos="9360" w:leader="none"/>
        </w:tabs>
        <w:spacing w:lineRule="exact" w:line="240"/>
        <w:jc w:val="both"/>
        <w:rPr>
          <w:sz w:val="22"/>
        </w:rPr>
      </w:pPr>
      <w:r>
        <w:rPr>
          <w:sz w:val="22"/>
        </w:rPr>
        <w:t>40 Grosvenor Place</w:t>
      </w:r>
    </w:p>
    <w:p>
      <w:pPr>
        <w:pStyle w:val="Normal"/>
        <w:rPr>
          <w:color w:val="0000FF"/>
          <w:sz w:val="22"/>
        </w:rPr>
      </w:pPr>
      <w:r>
        <w:rPr>
          <w:sz w:val="22"/>
        </w:rPr>
        <w:t>London  SW1X 7EN</w:t>
      </w:r>
    </w:p>
    <w:p>
      <w:pPr>
        <w:pStyle w:val="Normal"/>
        <w:rPr>
          <w:color w:val="0000FF"/>
          <w:sz w:val="22"/>
        </w:rPr>
      </w:pPr>
      <w:r>
        <w:rPr>
          <w:color w:val="0000FF"/>
          <w:sz w:val="22"/>
        </w:rPr>
      </w:r>
    </w:p>
    <w:p>
      <w:pPr>
        <w:pStyle w:val="Normal"/>
        <w:rPr>
          <w:color w:val="0000FF"/>
          <w:sz w:val="22"/>
        </w:rPr>
      </w:pPr>
      <w:r>
        <w:rPr>
          <w:color w:val="0000FF"/>
          <w:sz w:val="22"/>
        </w:rPr>
        <w:t>Dear Sir or Madam:</w:t>
      </w:r>
    </w:p>
    <w:p>
      <w:pPr>
        <w:pStyle w:val="Normal"/>
        <w:rPr>
          <w:color w:val="0000FF"/>
          <w:sz w:val="22"/>
        </w:rPr>
      </w:pPr>
      <w:r>
        <w:rPr>
          <w:color w:val="0000FF"/>
          <w:sz w:val="22"/>
        </w:rPr>
      </w:r>
    </w:p>
    <w:p>
      <w:pPr>
        <w:pStyle w:val="Normal"/>
        <w:rPr>
          <w:color w:val="0000FF"/>
          <w:sz w:val="22"/>
        </w:rPr>
      </w:pPr>
      <w:r>
        <w:rPr>
          <w:color w:val="0000FF"/>
          <w:sz w:val="22"/>
        </w:rPr>
      </w:r>
    </w:p>
    <w:p>
      <w:pPr>
        <w:pStyle w:val="Normal"/>
        <w:ind w:firstLine="1440" w:end="0"/>
        <w:jc w:val="both"/>
        <w:rPr>
          <w:color w:val="0000FF"/>
          <w:sz w:val="22"/>
        </w:rPr>
      </w:pPr>
      <w:r>
        <w:rPr>
          <w:color w:val="0000FF"/>
          <w:sz w:val="22"/>
        </w:rPr>
        <w:t>We have acted as counsel to ___________________________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color w:val="0000FF"/>
          <w:sz w:val="22"/>
        </w:rPr>
      </w:pPr>
      <w:r>
        <w:rPr>
          <w:color w:val="0000FF"/>
          <w:sz w:val="22"/>
        </w:rPr>
      </w:r>
    </w:p>
    <w:p>
      <w:pPr>
        <w:pStyle w:val="Normal"/>
        <w:jc w:val="both"/>
        <w:rPr>
          <w:color w:val="0000FF"/>
          <w:sz w:val="22"/>
        </w:rPr>
      </w:pPr>
      <w:r>
        <w:rPr>
          <w:color w:val="0000FF"/>
          <w:sz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United States of America.</w:t>
      </w:r>
    </w:p>
    <w:p>
      <w:pPr>
        <w:pStyle w:val="Normal"/>
        <w:jc w:val="both"/>
        <w:rPr>
          <w:color w:val="0000FF"/>
          <w:sz w:val="22"/>
        </w:rPr>
      </w:pPr>
      <w:r>
        <w:rPr>
          <w:color w:val="0000FF"/>
          <w:sz w:val="22"/>
        </w:rPr>
      </w:r>
    </w:p>
    <w:p>
      <w:pPr>
        <w:pStyle w:val="Normal"/>
        <w:jc w:val="both"/>
        <w:rPr>
          <w:color w:val="0000FF"/>
          <w:sz w:val="22"/>
        </w:rPr>
      </w:pPr>
      <w:r>
        <w:rPr>
          <w:color w:val="0000FF"/>
          <w:sz w:val="22"/>
        </w:rPr>
        <w:tab/>
        <w:tab/>
        <w:t>Based upon the foregoing and having regard for such legal considerations as we deem relevant, we are of opinion that:</w:t>
      </w:r>
    </w:p>
    <w:p>
      <w:pPr>
        <w:pStyle w:val="Normal"/>
        <w:jc w:val="both"/>
        <w:rPr>
          <w:color w:val="0000FF"/>
          <w:sz w:val="22"/>
        </w:rPr>
      </w:pPr>
      <w:r>
        <w:rPr>
          <w:color w:val="0000FF"/>
          <w:sz w:val="22"/>
        </w:rPr>
      </w:r>
    </w:p>
    <w:p>
      <w:pPr>
        <w:pStyle w:val="Normal"/>
        <w:tabs>
          <w:tab w:val="clear" w:pos="720"/>
          <w:tab w:val="left" w:pos="1440" w:leader="none"/>
        </w:tabs>
        <w:jc w:val="both"/>
        <w:rPr>
          <w:color w:val="0000FF"/>
          <w:sz w:val="22"/>
        </w:rPr>
      </w:pPr>
      <w:r>
        <w:rPr>
          <w:color w:val="0000FF"/>
          <w:sz w:val="22"/>
        </w:rPr>
        <w:tab/>
        <w:t>1.  The Counterparty is a [__________________] duly existing under the laws of [________________].</w:t>
      </w:r>
    </w:p>
    <w:p>
      <w:pPr>
        <w:pStyle w:val="Normal"/>
        <w:tabs>
          <w:tab w:val="clear" w:pos="720"/>
          <w:tab w:val="left" w:pos="1440" w:leader="none"/>
        </w:tabs>
        <w:jc w:val="both"/>
        <w:rPr>
          <w:color w:val="0000FF"/>
          <w:sz w:val="22"/>
        </w:rPr>
      </w:pPr>
      <w:r>
        <w:rPr>
          <w:color w:val="0000FF"/>
          <w:sz w:val="22"/>
        </w:rPr>
      </w:r>
    </w:p>
    <w:p>
      <w:pPr>
        <w:pStyle w:val="Justified"/>
        <w:widowControl/>
        <w:tabs>
          <w:tab w:val="clear" w:pos="720"/>
          <w:tab w:val="left" w:pos="1440" w:leader="none"/>
        </w:tabs>
        <w:spacing w:before="0" w:after="0"/>
        <w:rPr>
          <w:rFonts w:ascii="Times New Roman" w:hAnsi="Times New Roman" w:cs="Times New Roman"/>
          <w:color w:val="0000FF"/>
        </w:rPr>
      </w:pPr>
      <w:r>
        <w:rPr>
          <w:rFonts w:cs="Times New Roman" w:ascii="Times New Roman" w:hAnsi="Times New Roman"/>
          <w:color w:val="0000FF"/>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color w:val="0000FF"/>
          <w:sz w:val="22"/>
        </w:rPr>
      </w:pPr>
      <w:r>
        <w:rPr>
          <w:rFonts w:cs="Times New Roman"/>
          <w:color w:val="0000FF"/>
          <w:sz w:val="22"/>
        </w:rPr>
      </w:r>
    </w:p>
    <w:p>
      <w:pPr>
        <w:pStyle w:val="Normal"/>
        <w:tabs>
          <w:tab w:val="clear" w:pos="720"/>
          <w:tab w:val="left" w:pos="1440" w:leader="none"/>
        </w:tabs>
        <w:jc w:val="both"/>
        <w:rPr>
          <w:color w:val="0000FF"/>
          <w:sz w:val="22"/>
        </w:rPr>
      </w:pPr>
      <w:r>
        <w:rPr>
          <w:color w:val="0000FF"/>
          <w:sz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color w:val="0000FF"/>
          <w:sz w:val="22"/>
        </w:rPr>
      </w:pPr>
      <w:r>
        <w:rPr>
          <w:color w:val="0000FF"/>
          <w:sz w:val="22"/>
        </w:rPr>
      </w:r>
    </w:p>
    <w:p>
      <w:pPr>
        <w:pStyle w:val="Normal"/>
        <w:tabs>
          <w:tab w:val="clear" w:pos="720"/>
          <w:tab w:val="left" w:pos="1440" w:leader="none"/>
        </w:tabs>
        <w:jc w:val="both"/>
        <w:rPr>
          <w:color w:val="0000FF"/>
          <w:sz w:val="22"/>
        </w:rPr>
      </w:pPr>
      <w:r>
        <w:rPr>
          <w:color w:val="0000FF"/>
          <w:sz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color w:val="0000FF"/>
          <w:sz w:val="22"/>
        </w:rPr>
      </w:pPr>
      <w:r>
        <w:rPr>
          <w:color w:val="0000FF"/>
          <w:sz w:val="22"/>
        </w:rPr>
      </w:r>
    </w:p>
    <w:p>
      <w:pPr>
        <w:pStyle w:val="Normal"/>
        <w:tabs>
          <w:tab w:val="clear" w:pos="720"/>
          <w:tab w:val="left" w:pos="1440" w:leader="none"/>
        </w:tabs>
        <w:jc w:val="both"/>
        <w:rPr>
          <w:color w:val="0000FF"/>
          <w:sz w:val="22"/>
        </w:rPr>
      </w:pPr>
      <w:r>
        <w:rPr>
          <w:color w:val="0000FF"/>
          <w:sz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color w:val="0000FF"/>
          <w:sz w:val="22"/>
        </w:rPr>
      </w:pPr>
      <w:r>
        <w:rPr>
          <w:color w:val="0000FF"/>
          <w:sz w:val="22"/>
        </w:rPr>
      </w:r>
    </w:p>
    <w:p>
      <w:pPr>
        <w:pStyle w:val="Normal"/>
        <w:tabs>
          <w:tab w:val="clear" w:pos="720"/>
          <w:tab w:val="left" w:pos="1440" w:leader="none"/>
        </w:tabs>
        <w:rPr>
          <w:color w:val="0000FF"/>
          <w:sz w:val="22"/>
        </w:rPr>
      </w:pPr>
      <w:r>
        <w:rPr>
          <w:color w:val="0000FF"/>
          <w:sz w:val="22"/>
        </w:rPr>
      </w:r>
    </w:p>
    <w:p>
      <w:pPr>
        <w:pStyle w:val="Normal"/>
        <w:keepNext w:val="true"/>
        <w:jc w:val="end"/>
        <w:rPr>
          <w:color w:val="0000FF"/>
          <w:sz w:val="22"/>
        </w:rPr>
      </w:pPr>
      <w:r>
        <w:rPr>
          <w:color w:val="0000FF"/>
          <w:sz w:val="22"/>
        </w:rPr>
        <w:t>Very truly yours</w:t>
        <w:tab/>
        <w:tab/>
        <w:tab/>
      </w:r>
    </w:p>
    <w:p>
      <w:pPr>
        <w:pStyle w:val="Normal"/>
        <w:keepNext w:val="true"/>
        <w:jc w:val="end"/>
        <w:rPr>
          <w:color w:val="0000FF"/>
          <w:sz w:val="22"/>
        </w:rPr>
      </w:pPr>
      <w:r>
        <w:rPr>
          <w:color w:val="0000FF"/>
          <w:sz w:val="22"/>
        </w:rPr>
      </w:r>
    </w:p>
    <w:p>
      <w:pPr>
        <w:pStyle w:val="Normal"/>
        <w:rPr>
          <w:color w:val="0000FF"/>
          <w:sz w:val="22"/>
        </w:rPr>
      </w:pPr>
      <w:r>
        <w:rPr>
          <w:color w:val="0000FF"/>
          <w:sz w:val="22"/>
        </w:rPr>
      </w:r>
    </w:p>
    <w:sectPr>
      <w:headerReference w:type="default" r:id="rId3"/>
      <w:footerReference w:type="default" r:id="rId4"/>
      <w:footerReference w:type="first" r:id="rId5"/>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p>
  <w:p>
    <w:pPr>
      <w:pStyle w:val="Footer"/>
      <w:widowControl/>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/mnt/main-storage/datasets/enron-docs/doc/SocieteIndust_Sched__14.04.00_.doc</w:t>
    </w:r>
    <w:r>
      <w:rPr>
        <w:rStyle w:val="PageNumbe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/mnt/main-storage/datasets/enron-docs/doc/SocieteIndust_Sched__14.04.00_.doc</w:t>
    </w:r>
    <w:r>
      <w:rPr>
        <w:sz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jc w:val="end"/>
      <w:outlineLvl w:val="3"/>
    </w:pPr>
    <w:rPr>
      <w:b/>
      <w:sz w:val="22"/>
      <w:u w:val="single"/>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odyTextIndent">
    <w:name w:val="Body Text Indent"/>
    <w:basedOn w:val="Normal"/>
    <w:pPr>
      <w:ind w:hanging="0" w:start="1080" w:end="0"/>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2000-04-14T07:04:00Z</dcterms:created>
  <dc:creator>mheard</dc:creator>
  <dc:description/>
  <dc:language>en-CA</dc:language>
  <cp:lastModifiedBy>Administrator</cp:lastModifiedBy>
  <cp:lastPrinted>2000-04-14T13:27:00Z</cp:lastPrinted>
  <dcterms:modified xsi:type="dcterms:W3CDTF">2000-04-14T09:58:00Z</dcterms:modified>
  <cp:revision>11</cp:revision>
  <dc:subject/>
  <dc:title>ISDA Multicurrency Agreement</dc:title>
</cp:coreProperties>
</file>