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jc w:val="center"/>
        <w:rPr>
          <w:b/>
          <w:sz w:val="28"/>
        </w:rPr>
      </w:pPr>
      <w:r>
        <w:rPr>
          <w:b/>
          <w:sz w:val="28"/>
        </w:rPr>
        <w:t>Potential Pricing Structures</w:t>
      </w:r>
    </w:p>
    <w:p>
      <w:pPr>
        <w:pStyle w:val="Header"/>
        <w:tabs>
          <w:tab w:val="clear" w:pos="4320"/>
          <w:tab w:val="clear" w:pos="8640"/>
        </w:tabs>
        <w:rPr>
          <w:b/>
          <w:sz w:val="28"/>
        </w:rPr>
      </w:pPr>
      <w:r>
        <w:rPr>
          <w:b/>
          <w:sz w:val="28"/>
        </w:rPr>
      </w:r>
    </w:p>
    <w:p>
      <w:pPr>
        <w:pStyle w:val="Header"/>
        <w:tabs>
          <w:tab w:val="clear" w:pos="4320"/>
          <w:tab w:val="clear" w:pos="8640"/>
        </w:tabs>
        <w:rPr>
          <w:b/>
          <w:sz w:val="22"/>
        </w:rPr>
      </w:pPr>
      <w:r>
        <w:rPr>
          <w:b/>
          <w:sz w:val="22"/>
        </w:rPr>
      </w:r>
    </w:p>
    <w:p>
      <w:pPr>
        <w:pStyle w:val="Heading1"/>
        <w:tabs>
          <w:tab w:val="clear" w:pos="720"/>
          <w:tab w:val="left" w:pos="2520" w:leader="none"/>
        </w:tabs>
        <w:ind w:hanging="0" w:start="0"/>
        <w:jc w:val="both"/>
        <w:rPr>
          <w:caps w:val="false"/>
          <w:smallCaps w:val="false"/>
        </w:rPr>
      </w:pPr>
      <w:r>
        <w:rPr>
          <w:caps w:val="false"/>
          <w:smallCaps w:val="false"/>
        </w:rPr>
        <w:t>Primary</w:t>
      </w:r>
    </w:p>
    <w:p>
      <w:pPr>
        <w:pStyle w:val="Heading1"/>
        <w:tabs>
          <w:tab w:val="clear" w:pos="720"/>
          <w:tab w:val="left" w:pos="1440" w:leader="none"/>
        </w:tabs>
        <w:ind w:hanging="0" w:start="0"/>
        <w:jc w:val="both"/>
        <w:rPr/>
      </w:pPr>
      <w:r>
        <w:rPr>
          <w:caps w:val="false"/>
          <w:smallCaps w:val="false"/>
        </w:rPr>
        <w:t>Point:</w:t>
        <w:tab/>
        <w:tab/>
      </w:r>
      <w:r>
        <w:rPr>
          <w:b w:val="false"/>
          <w:caps w:val="false"/>
          <w:smallCaps w:val="false"/>
        </w:rPr>
        <w:t>Elba Island Plant connected into Southern Natural Gas Company.</w:t>
      </w:r>
    </w:p>
    <w:p>
      <w:pPr>
        <w:pStyle w:val="Heading1"/>
        <w:tabs>
          <w:tab w:val="clear" w:pos="720"/>
          <w:tab w:val="left" w:pos="2520" w:leader="none"/>
        </w:tabs>
        <w:ind w:hanging="0" w:start="0"/>
        <w:jc w:val="both"/>
        <w:rPr>
          <w:b w:val="false"/>
          <w:caps w:val="false"/>
          <w:smallCaps w:val="false"/>
        </w:rPr>
      </w:pPr>
      <w:r>
        <w:rPr>
          <w:b w:val="false"/>
          <w:caps w:val="false"/>
          <w:smallCaps w:val="false"/>
        </w:rPr>
      </w:r>
    </w:p>
    <w:p>
      <w:pPr>
        <w:pStyle w:val="Heading1"/>
        <w:tabs>
          <w:tab w:val="clear" w:pos="720"/>
          <w:tab w:val="left" w:pos="360" w:leader="none"/>
        </w:tabs>
        <w:ind w:hanging="2160" w:start="2160" w:end="0"/>
        <w:jc w:val="both"/>
        <w:rPr>
          <w:caps w:val="false"/>
          <w:smallCaps w:val="false"/>
        </w:rPr>
      </w:pPr>
      <w:r>
        <w:rPr>
          <w:caps w:val="false"/>
          <w:smallCaps w:val="false"/>
        </w:rPr>
        <w:t>Secondary</w:t>
      </w:r>
    </w:p>
    <w:p>
      <w:pPr>
        <w:pStyle w:val="Heading1"/>
        <w:tabs>
          <w:tab w:val="clear" w:pos="720"/>
          <w:tab w:val="left" w:pos="360" w:leader="none"/>
        </w:tabs>
        <w:ind w:hanging="2160" w:start="2160" w:end="0"/>
        <w:jc w:val="both"/>
        <w:rPr/>
      </w:pPr>
      <w:r>
        <w:rPr>
          <w:caps w:val="false"/>
          <w:smallCaps w:val="false"/>
        </w:rPr>
        <w:t xml:space="preserve">Points: </w:t>
        <w:tab/>
      </w:r>
      <w:r>
        <w:rPr>
          <w:b w:val="false"/>
          <w:caps w:val="false"/>
          <w:smallCaps w:val="false"/>
        </w:rPr>
        <w:t>Destin Pipeline, TGP-Rose Hill, Texas Eastern-Kosi, or alternate receipt points as agreed to by Buyer and Seller.</w:t>
      </w:r>
    </w:p>
    <w:p>
      <w:pPr>
        <w:pStyle w:val="Heading5"/>
        <w:tabs>
          <w:tab w:val="clear" w:pos="0"/>
        </w:tabs>
        <w:ind w:hanging="0" w:start="0"/>
        <w:rPr>
          <w:b w:val="false"/>
          <w:smallCaps/>
        </w:rPr>
      </w:pPr>
      <w:r>
        <w:rPr>
          <w:b w:val="false"/>
          <w:smallCaps/>
        </w:rPr>
      </w:r>
    </w:p>
    <w:p>
      <w:pPr>
        <w:pStyle w:val="Normal"/>
        <w:pBdr>
          <w:bottom w:val="single" w:sz="4" w:space="1" w:color="000000"/>
        </w:pBdr>
        <w:rPr>
          <w:sz w:val="22"/>
        </w:rPr>
      </w:pPr>
      <w:r>
        <w:rPr>
          <w:sz w:val="22"/>
        </w:rPr>
      </w:r>
    </w:p>
    <w:p>
      <w:pPr>
        <w:pStyle w:val="Heading5"/>
        <w:tabs>
          <w:tab w:val="clear" w:pos="0"/>
        </w:tabs>
        <w:ind w:hanging="0" w:start="0"/>
        <w:rPr>
          <w:sz w:val="22"/>
        </w:rPr>
      </w:pPr>
      <w:r>
        <w:rPr>
          <w:sz w:val="22"/>
        </w:rPr>
      </w:r>
    </w:p>
    <w:p>
      <w:pPr>
        <w:pStyle w:val="Heading5"/>
        <w:tabs>
          <w:tab w:val="clear" w:pos="0"/>
        </w:tabs>
        <w:ind w:hanging="0" w:start="0"/>
        <w:rPr/>
      </w:pPr>
      <w:r>
        <w:rPr/>
        <w:t>Option #1</w:t>
      </w:r>
    </w:p>
    <w:p>
      <w:pPr>
        <w:pStyle w:val="Heading1"/>
        <w:ind w:hanging="0" w:start="0"/>
        <w:jc w:val="both"/>
        <w:rPr>
          <w:u w:val="single"/>
        </w:rPr>
      </w:pPr>
      <w:r>
        <w:rPr>
          <w:u w:val="single"/>
        </w:rPr>
      </w:r>
    </w:p>
    <w:p>
      <w:pPr>
        <w:pStyle w:val="BodyTextIndent2"/>
        <w:rPr/>
      </w:pPr>
      <w:r>
        <w:rPr>
          <w:b/>
          <w:sz w:val="22"/>
        </w:rPr>
        <w:t>Price:</w:t>
      </w:r>
      <w:r>
        <w:rPr>
          <w:sz w:val="22"/>
        </w:rPr>
        <w:tab/>
        <w:t>Henry Hub + [Henry Hub x 1.7%} + $.01.</w:t>
      </w:r>
    </w:p>
    <w:p>
      <w:pPr>
        <w:pStyle w:val="BodyTextIndent2"/>
        <w:rPr>
          <w:sz w:val="22"/>
        </w:rPr>
      </w:pPr>
      <w:r>
        <w:rPr>
          <w:sz w:val="22"/>
        </w:rPr>
        <w:tab/>
        <w:t>or</w:t>
      </w:r>
    </w:p>
    <w:p>
      <w:pPr>
        <w:pStyle w:val="BodyTextIndent2"/>
        <w:ind w:hanging="0" w:end="0"/>
        <w:rPr>
          <w:sz w:val="22"/>
        </w:rPr>
      </w:pPr>
      <w:r>
        <w:rPr>
          <w:sz w:val="22"/>
        </w:rPr>
        <w:t>Henry Hub + $.065.</w:t>
      </w:r>
    </w:p>
    <w:p>
      <w:pPr>
        <w:pStyle w:val="BodyTextIndent2"/>
        <w:rPr>
          <w:sz w:val="22"/>
        </w:rPr>
      </w:pPr>
      <w:r>
        <w:rPr>
          <w:sz w:val="22"/>
        </w:rPr>
      </w:r>
    </w:p>
    <w:p>
      <w:pPr>
        <w:pStyle w:val="BodyTextIndent2"/>
        <w:ind w:hanging="0" w:start="0" w:end="0"/>
        <w:rPr>
          <w:b/>
          <w:sz w:val="22"/>
        </w:rPr>
      </w:pPr>
      <w:r>
        <w:rPr>
          <w:b/>
          <w:sz w:val="22"/>
        </w:rPr>
        <w:t>Secondary</w:t>
      </w:r>
    </w:p>
    <w:p>
      <w:pPr>
        <w:pStyle w:val="BodyTextIndent2"/>
        <w:rPr/>
      </w:pPr>
      <w:r>
        <w:rPr>
          <w:b/>
          <w:sz w:val="22"/>
        </w:rPr>
        <w:t>Price:</w:t>
        <w:tab/>
      </w:r>
      <w:r>
        <w:rPr>
          <w:sz w:val="22"/>
        </w:rPr>
        <w:t>In the event that ENA does not provide gas to the Primary Point, then ENA shall have the right to delivery to Secondary Points at Henry Hub - $.01.  Enron shall provide 5 days notice before the upcoming month if it desires to provide gas at alternative points.  Southern Company may elect to take from 0 to 100% of the MDQ as baseload for the entire month at secondary points.</w:t>
      </w:r>
    </w:p>
    <w:p>
      <w:pPr>
        <w:pStyle w:val="BodyText2"/>
        <w:pBdr>
          <w:bottom w:val="single" w:sz="4" w:space="1" w:color="000000"/>
        </w:pBdr>
        <w:tabs>
          <w:tab w:val="clear" w:pos="360"/>
        </w:tabs>
        <w:rPr>
          <w:sz w:val="22"/>
        </w:rPr>
      </w:pPr>
      <w:r>
        <w:rPr>
          <w:sz w:val="22"/>
        </w:rPr>
      </w:r>
    </w:p>
    <w:p>
      <w:pPr>
        <w:pStyle w:val="BodyText2"/>
        <w:tabs>
          <w:tab w:val="clear" w:pos="360"/>
        </w:tabs>
        <w:ind w:start="360" w:end="0"/>
        <w:rPr/>
      </w:pPr>
      <w:r>
        <w:rPr/>
      </w:r>
    </w:p>
    <w:p>
      <w:pPr>
        <w:pStyle w:val="Heading5"/>
        <w:tabs>
          <w:tab w:val="clear" w:pos="0"/>
        </w:tabs>
        <w:ind w:hanging="0" w:start="0"/>
        <w:rPr/>
      </w:pPr>
      <w:r>
        <w:rPr/>
        <w:t>Option #2</w:t>
      </w:r>
    </w:p>
    <w:p>
      <w:pPr>
        <w:pStyle w:val="Heading1"/>
        <w:ind w:hanging="0" w:start="720" w:end="0"/>
        <w:jc w:val="both"/>
        <w:rPr>
          <w:u w:val="single"/>
        </w:rPr>
      </w:pPr>
      <w:r>
        <w:rPr>
          <w:u w:val="single"/>
        </w:rPr>
      </w:r>
    </w:p>
    <w:p>
      <w:pPr>
        <w:pStyle w:val="BodyTextIndent2"/>
        <w:rPr/>
      </w:pPr>
      <w:r>
        <w:rPr>
          <w:b/>
          <w:sz w:val="22"/>
        </w:rPr>
        <w:t>Price:</w:t>
      </w:r>
      <w:r>
        <w:rPr>
          <w:sz w:val="22"/>
        </w:rPr>
        <w:tab/>
        <w:t>Henry Hub + $.06.</w:t>
      </w:r>
    </w:p>
    <w:p>
      <w:pPr>
        <w:pStyle w:val="Normal"/>
        <w:rPr>
          <w:sz w:val="22"/>
        </w:rPr>
      </w:pPr>
      <w:r>
        <w:rPr>
          <w:sz w:val="22"/>
        </w:rPr>
      </w:r>
    </w:p>
    <w:p>
      <w:pPr>
        <w:pStyle w:val="BodyTextIndent2"/>
        <w:ind w:hanging="0" w:start="0" w:end="0"/>
        <w:rPr>
          <w:b/>
          <w:sz w:val="22"/>
        </w:rPr>
      </w:pPr>
      <w:r>
        <w:rPr>
          <w:b/>
          <w:sz w:val="22"/>
        </w:rPr>
        <w:t>Secondary</w:t>
      </w:r>
    </w:p>
    <w:p>
      <w:pPr>
        <w:pStyle w:val="BodyTextIndent2"/>
        <w:rPr/>
      </w:pPr>
      <w:r>
        <w:rPr>
          <w:b/>
          <w:sz w:val="22"/>
        </w:rPr>
        <w:t>Price:</w:t>
        <w:tab/>
      </w:r>
      <w:r>
        <w:rPr>
          <w:sz w:val="22"/>
        </w:rPr>
        <w:t>In the event that ENA does not provide gas to the Primary Point, then ENA shall have the right to delivery to Secondary Points at Henry Hub flat.  Enron shall provide 5 days notice before the upcoming month if it desires to provide gas at alternative points.  Southern Company may elect to take from 0 to 100% of the MDQ as baseload for the entire month at secondary points.</w:t>
      </w:r>
    </w:p>
    <w:p>
      <w:pPr>
        <w:pStyle w:val="Header"/>
        <w:pBdr>
          <w:bottom w:val="single" w:sz="4" w:space="1" w:color="000000"/>
        </w:pBdr>
        <w:tabs>
          <w:tab w:val="clear" w:pos="4320"/>
          <w:tab w:val="clear" w:pos="8640"/>
        </w:tabs>
        <w:rPr>
          <w:sz w:val="22"/>
        </w:rPr>
      </w:pPr>
      <w:r>
        <w:rPr>
          <w:sz w:val="22"/>
        </w:rPr>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r>
    </w:p>
    <w:p>
      <w:pPr>
        <w:pStyle w:val="Header"/>
        <w:tabs>
          <w:tab w:val="clear" w:pos="4320"/>
          <w:tab w:val="clear" w:pos="8640"/>
        </w:tabs>
        <w:rPr/>
      </w:pPr>
      <w:r>
        <w:rPr>
          <w:b/>
          <w:sz w:val="22"/>
        </w:rPr>
        <w:t>Term:</w:t>
      </w:r>
      <w:r>
        <w:rPr>
          <w:sz w:val="22"/>
        </w:rPr>
        <w:tab/>
        <w:tab/>
        <w:tab/>
        <w:t xml:space="preserve">Ten Years starting June 2002 or as soon as the Elba Facility is operational. </w:t>
      </w:r>
    </w:p>
    <w:p>
      <w:pPr>
        <w:pStyle w:val="Header"/>
        <w:tabs>
          <w:tab w:val="clear" w:pos="4320"/>
          <w:tab w:val="clear" w:pos="8640"/>
        </w:tabs>
        <w:rPr>
          <w:sz w:val="22"/>
        </w:rPr>
      </w:pPr>
      <w:r>
        <w:rPr>
          <w:sz w:val="22"/>
        </w:rPr>
      </w:r>
    </w:p>
    <w:p>
      <w:pPr>
        <w:pStyle w:val="Header"/>
        <w:tabs>
          <w:tab w:val="clear" w:pos="4320"/>
          <w:tab w:val="clear" w:pos="8640"/>
        </w:tabs>
        <w:rPr/>
      </w:pPr>
      <w:r>
        <w:rPr>
          <w:b/>
          <w:sz w:val="22"/>
        </w:rPr>
        <w:t>Quantity:</w:t>
      </w:r>
      <w:r>
        <w:rPr>
          <w:sz w:val="22"/>
        </w:rPr>
        <w:tab/>
        <w:tab/>
        <w:t>Year 1:</w:t>
        <w:tab/>
        <w:tab/>
        <w:t>90,000 MMBtu/Day</w:t>
      </w:r>
    </w:p>
    <w:p>
      <w:pPr>
        <w:pStyle w:val="Header"/>
        <w:tabs>
          <w:tab w:val="clear" w:pos="4320"/>
          <w:tab w:val="clear" w:pos="8640"/>
        </w:tabs>
        <w:rPr>
          <w:sz w:val="22"/>
        </w:rPr>
      </w:pPr>
      <w:r>
        <w:rPr>
          <w:sz w:val="22"/>
        </w:rPr>
        <w:tab/>
        <w:tab/>
        <w:tab/>
        <w:t>Year 2-10:</w:t>
        <w:tab/>
        <w:t>160,000 MMBtu/Day</w:t>
      </w:r>
    </w:p>
    <w:p>
      <w:pPr>
        <w:pStyle w:val="Normal"/>
        <w:rPr>
          <w:sz w:val="22"/>
        </w:rPr>
      </w:pPr>
      <w:r>
        <w:rPr>
          <w:sz w:val="22"/>
        </w:rPr>
      </w:r>
    </w:p>
    <w:p>
      <w:pPr>
        <w:pStyle w:val="Normal"/>
        <w:rPr>
          <w:b/>
          <w:sz w:val="22"/>
        </w:rPr>
      </w:pPr>
      <w:r>
        <w:rPr>
          <w:b/>
          <w:sz w:val="22"/>
        </w:rPr>
        <w:t>Force</w:t>
      </w:r>
    </w:p>
    <w:p>
      <w:pPr>
        <w:pStyle w:val="Heading1"/>
        <w:ind w:hanging="2160" w:start="2160" w:end="0"/>
        <w:jc w:val="both"/>
        <w:rPr>
          <w:b w:val="false"/>
        </w:rPr>
      </w:pPr>
      <w:r>
        <w:rPr>
          <w:caps w:val="false"/>
          <w:smallCaps w:val="false"/>
        </w:rPr>
        <w:t>Majeure:</w:t>
      </w:r>
      <w:r>
        <w:rPr>
          <w:b w:val="false"/>
          <w:caps w:val="false"/>
          <w:smallCaps w:val="false"/>
        </w:rPr>
        <w:tab/>
        <w:t>Industry standard force majeure provisions would apply, however it is expressly understood that failure to utilize firm transportation is not a force majeure condition.  Hurricanes, riots, etc. associated with LNG shall be considered a Force Majeure event.</w:t>
      </w:r>
    </w:p>
    <w:p>
      <w:pPr>
        <w:pStyle w:val="Normal"/>
        <w:rPr>
          <w:b/>
          <w:sz w:val="22"/>
        </w:rPr>
      </w:pPr>
      <w:r>
        <w:rPr>
          <w:b/>
          <w:sz w:val="22"/>
        </w:rPr>
      </w:r>
    </w:p>
    <w:p>
      <w:pPr>
        <w:pStyle w:val="Normal"/>
        <w:ind w:hanging="2160" w:start="2160" w:end="0"/>
        <w:rPr/>
      </w:pPr>
      <w:r>
        <w:rPr>
          <w:b/>
          <w:sz w:val="22"/>
        </w:rPr>
        <w:t>Cover:</w:t>
      </w:r>
      <w:r>
        <w:rPr>
          <w:sz w:val="22"/>
        </w:rPr>
        <w:tab/>
        <w:t>In the event of either parties’ unexcused failure to schedule or take gas requested on any given day, such party shall pay damages equal to (a) the difference, if positive, between the Gas Daily, Midpoint posting for the Henry Hub and the contract price for Secondary Deliveries plus (b) applicable penalties and/or balancing requirements.</w:t>
      </w:r>
    </w:p>
    <w:p>
      <w:pPr>
        <w:pStyle w:val="BodyTextIndent"/>
        <w:ind w:hanging="0" w:start="0" w:end="0"/>
        <w:rPr>
          <w:sz w:val="22"/>
        </w:rPr>
      </w:pPr>
      <w:r>
        <w:rPr>
          <w:sz w:val="22"/>
        </w:rPr>
      </w:r>
    </w:p>
    <w:p>
      <w:pPr>
        <w:pStyle w:val="Normal"/>
        <w:ind w:hanging="2160" w:start="2160" w:end="0"/>
        <w:rPr/>
      </w:pPr>
      <w:r>
        <w:rPr>
          <w:b/>
          <w:sz w:val="22"/>
        </w:rPr>
        <w:t>Regulatory Out:</w:t>
        <w:tab/>
      </w:r>
      <w:r>
        <w:rPr>
          <w:sz w:val="22"/>
        </w:rPr>
        <w:t>This offer is contingent on the Elba Island Plant acquiring the necessary permits and approvals from the proper state and local authorities.  In the event such permits are delayed or refused, ENA shall be relieved of its’ supply obligation accordingly.   Such regulatory out shall expire by January 1, 2003.</w:t>
      </w:r>
    </w:p>
    <w:p>
      <w:pPr>
        <w:pStyle w:val="Normal"/>
        <w:rPr>
          <w:sz w:val="22"/>
        </w:rPr>
      </w:pPr>
      <w:r>
        <w:rPr>
          <w:sz w:val="22"/>
        </w:rPr>
      </w:r>
    </w:p>
    <w:sectPr>
      <w:footerReference w:type="default" r:id="rId2"/>
      <w:footerReference w:type="first" r:id="rId3"/>
      <w:type w:val="nextPage"/>
      <w:pgSz w:w="12240" w:h="15840"/>
      <w:pgMar w:left="1440" w:right="1440" w:gutter="0" w:header="0" w:top="1440" w:footer="864"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lang w:eastAsia="en-US"/>
      </w:rPr>
      <w:tab/>
      <w:t xml:space="preserve">Page </w:t>
    </w:r>
    <w:r>
      <w:rPr>
        <w:rStyle w:val="PageNumber"/>
        <w:lang w:eastAsia="en-US"/>
      </w:rPr>
      <w:fldChar w:fldCharType="begin"/>
    </w:r>
    <w:r>
      <w:rPr>
        <w:rStyle w:val="PageNumber"/>
        <w:lang w:eastAsia="en-US"/>
      </w:rPr>
      <w:instrText xml:space="preserve"> PAGE </w:instrText>
    </w:r>
    <w:r>
      <w:rPr>
        <w:rStyle w:val="PageNumber"/>
        <w:lang w:eastAsia="en-US"/>
      </w:rPr>
      <w:fldChar w:fldCharType="separate"/>
    </w:r>
    <w:r>
      <w:rPr>
        <w:rStyle w:val="PageNumber"/>
        <w:lang w:eastAsia="en-US"/>
      </w:rPr>
      <w:t>2</w:t>
    </w:r>
    <w:r>
      <w:rPr>
        <w:rStyle w:val="PageNumber"/>
        <w:lang w:eastAsia="en-US"/>
      </w:rPr>
      <w:fldChar w:fldCharType="end"/>
    </w:r>
    <w:r>
      <w:rPr>
        <w:rStyle w:val="PageNumber"/>
        <w:lang w:eastAsia="en-US"/>
      </w:rPr>
      <w:t xml:space="preserve"> of 2</w:t>
      <w:tab/>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lang w:eastAsia="en-US"/>
      </w:rPr>
      <w:tab/>
    </w: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1</w:t>
    </w:r>
    <w:r>
      <w:rPr>
        <w:lang w:eastAsia="en-US"/>
      </w:rPr>
      <w:fldChar w:fldCharType="end"/>
    </w:r>
    <w:r>
      <w:rPr>
        <w:lang w:eastAsia="en-US"/>
      </w:rPr>
      <w:t xml:space="preserve"> of 2</w:t>
    </w:r>
    <w:r>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mallCaps/>
      <w:sz w:val="22"/>
    </w:rPr>
  </w:style>
  <w:style w:type="paragraph" w:styleId="Heading2">
    <w:name w:val="heading 2"/>
    <w:basedOn w:val="Normal"/>
    <w:next w:val="Normal"/>
    <w:qFormat/>
    <w:pPr>
      <w:keepNext w:val="true"/>
      <w:numPr>
        <w:ilvl w:val="1"/>
        <w:numId w:val="1"/>
      </w:numPr>
      <w:tabs>
        <w:tab w:val="clear" w:pos="720"/>
        <w:tab w:val="left" w:pos="360" w:leader="none"/>
      </w:tabs>
      <w:ind w:hanging="720" w:start="0" w:end="0"/>
      <w:jc w:val="center"/>
      <w:outlineLvl w:val="1"/>
    </w:pPr>
    <w:rPr>
      <w:b/>
      <w:smallCaps/>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keepNext w:val="true"/>
      <w:numPr>
        <w:ilvl w:val="4"/>
        <w:numId w:val="1"/>
      </w:numPr>
      <w:tabs>
        <w:tab w:val="clear" w:pos="720"/>
        <w:tab w:val="left" w:pos="0" w:leader="none"/>
      </w:tabs>
      <w:jc w:val="center"/>
      <w:outlineLvl w:val="4"/>
    </w:pPr>
    <w:rPr>
      <w:b/>
      <w:sz w:val="22"/>
      <w:u w:val="single"/>
    </w:rPr>
  </w:style>
  <w:style w:type="paragraph" w:styleId="Heading6">
    <w:name w:val="heading 6"/>
    <w:basedOn w:val="Normal"/>
    <w:next w:val="Normal"/>
    <w:qFormat/>
    <w:pPr>
      <w:keepNext w:val="true"/>
      <w:numPr>
        <w:ilvl w:val="5"/>
        <w:numId w:val="1"/>
      </w:numPr>
      <w:jc w:val="both"/>
      <w:outlineLvl w:val="5"/>
    </w:pPr>
    <w:rPr>
      <w:b/>
      <w:smallCaps/>
      <w:sz w:val="22"/>
    </w:rPr>
  </w:style>
  <w:style w:type="paragraph" w:styleId="Heading7">
    <w:name w:val="heading 7"/>
    <w:basedOn w:val="Normal"/>
    <w:next w:val="Normal"/>
    <w:qFormat/>
    <w:pPr>
      <w:keepNext w:val="true"/>
      <w:numPr>
        <w:ilvl w:val="6"/>
        <w:numId w:val="1"/>
      </w:numPr>
      <w:jc w:val="center"/>
      <w:outlineLvl w:val="6"/>
    </w:pPr>
    <w:rPr>
      <w:b/>
      <w:u w:val="single"/>
    </w:rPr>
  </w:style>
  <w:style w:type="paragraph" w:styleId="Heading8">
    <w:name w:val="heading 8"/>
    <w:basedOn w:val="Normal"/>
    <w:next w:val="Normal"/>
    <w:qFormat/>
    <w:pPr>
      <w:keepNext w:val="true"/>
      <w:numPr>
        <w:ilvl w:val="7"/>
        <w:numId w:val="1"/>
      </w:numPr>
      <w:tabs>
        <w:tab w:val="clear" w:pos="720"/>
        <w:tab w:val="left" w:pos="2160" w:leader="none"/>
      </w:tabs>
      <w:ind w:hanging="2160" w:start="2160" w:end="0"/>
      <w:outlineLvl w:val="7"/>
    </w:pPr>
    <w:rPr>
      <w:b/>
      <w:smallCaps/>
      <w:sz w:val="22"/>
    </w:rPr>
  </w:style>
  <w:style w:type="paragraph" w:styleId="Heading9">
    <w:name w:val="heading 9"/>
    <w:basedOn w:val="Normal"/>
    <w:next w:val="Normal"/>
    <w:qFormat/>
    <w:pPr>
      <w:keepNext w:val="true"/>
      <w:numPr>
        <w:ilvl w:val="8"/>
        <w:numId w:val="1"/>
      </w:numPr>
      <w:jc w:val="center"/>
      <w:outlineLvl w:val="8"/>
    </w:pPr>
    <w:rPr>
      <w:b/>
      <w:sz w:val="22"/>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jc w:val="both"/>
    </w:pPr>
    <w:rPr>
      <w:i/>
      <w:sz w:val="18"/>
    </w:rPr>
  </w:style>
  <w:style w:type="paragraph" w:styleId="List">
    <w:name w:val="List"/>
    <w:basedOn w:val="BodyText"/>
    <w:pPr/>
    <w:rPr>
      <w:rFonts w:cs="NotoSans NF"/>
    </w:rPr>
  </w:style>
  <w:style w:type="paragraph" w:styleId="Caption">
    <w:name w:val="caption"/>
    <w:basedOn w:val="Normal"/>
    <w:next w:val="Normal"/>
    <w:qFormat/>
    <w:pPr>
      <w:jc w:val="center"/>
    </w:pPr>
    <w:rPr>
      <w:b/>
      <w:smallCaps/>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Normal"/>
    <w:qFormat/>
    <w:pPr>
      <w:numPr>
        <w:ilvl w:val="0"/>
        <w:numId w:val="2"/>
      </w:numPr>
      <w:ind w:hanging="360" w:start="360" w:end="0"/>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tabs>
        <w:tab w:val="clear" w:pos="720"/>
        <w:tab w:val="left" w:pos="360" w:leader="none"/>
      </w:tabs>
      <w:jc w:val="both"/>
    </w:pPr>
    <w:rPr>
      <w:sz w:val="22"/>
    </w:rPr>
  </w:style>
  <w:style w:type="paragraph" w:styleId="BodyText3">
    <w:name w:val="Body Text 3"/>
    <w:basedOn w:val="Normal"/>
    <w:qFormat/>
    <w:pPr>
      <w:tabs>
        <w:tab w:val="clear" w:pos="720"/>
        <w:tab w:val="left" w:pos="-90" w:leader="none"/>
      </w:tabs>
      <w:jc w:val="center"/>
    </w:pPr>
    <w:rPr>
      <w:sz w:val="22"/>
    </w:rPr>
  </w:style>
  <w:style w:type="paragraph" w:styleId="BodyTextIndent">
    <w:name w:val="Body Text Indent"/>
    <w:basedOn w:val="Normal"/>
    <w:pPr>
      <w:tabs>
        <w:tab w:val="clear" w:pos="720"/>
        <w:tab w:val="left" w:pos="360" w:leader="none"/>
      </w:tabs>
      <w:ind w:hanging="2160" w:start="2160" w:end="0"/>
      <w:jc w:val="both"/>
    </w:pPr>
    <w:rPr>
      <w:sz w:val="22"/>
    </w:rPr>
  </w:style>
  <w:style w:type="paragraph" w:styleId="BodyTextIndent2">
    <w:name w:val="Body Text Indent 2"/>
    <w:basedOn w:val="Normal"/>
    <w:qFormat/>
    <w:pPr>
      <w:ind w:hanging="2160" w:start="216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2000-06-13T18:44:00Z</dcterms:created>
  <dc:creator>ECT</dc:creator>
  <dc:description/>
  <dc:language>en-CA</dc:language>
  <cp:lastModifiedBy>Phil DeMoes</cp:lastModifiedBy>
  <cp:lastPrinted>2000-06-14T13:06:00Z</cp:lastPrinted>
  <dcterms:modified xsi:type="dcterms:W3CDTF">2000-06-14T15:46:00Z</dcterms:modified>
  <cp:revision>7</cp:revision>
  <dc:subject/>
  <dc:title>SUMMARY OF TERMS FOR PROPOSED TRANSACTION BETWEEN</dc:title>
</cp:coreProperties>
</file>