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_rels/footer2.xml.rels" ContentType="application/vnd.openxmlformats-package.relationships+xml"/>
  <Override PartName="/word/_rels/document.xml.rels" ContentType="application/vnd.openxmlformats-package.relationships+xml"/>
  <Override PartName="/word/_rels/footer1.xml.rels" ContentType="application/vnd.openxmlformats-package.relationships+xml"/>
  <Override PartName="/word/media/image1.png" ContentType="image/png"/>
  <Override PartName="/word/media/image2.png" ContentType="image/pn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May 12, 2000</w:t>
      </w:r>
    </w:p>
    <w:p>
      <w:pPr>
        <w:pStyle w:val="Normal"/>
        <w:rPr>
          <w:sz w:val="22"/>
        </w:rPr>
      </w:pPr>
      <w:r>
        <w:rPr>
          <w:sz w:val="22"/>
        </w:rPr>
      </w:r>
    </w:p>
    <w:p>
      <w:pPr>
        <w:pStyle w:val="Normal"/>
        <w:rPr/>
      </w:pPr>
      <w:r>
        <w:rPr>
          <w:sz w:val="22"/>
        </w:rPr>
        <w:t>Mr. Alan Kilpatrick</w:t>
        <w:tab/>
        <w:tab/>
        <w:tab/>
        <w:tab/>
        <w:tab/>
      </w:r>
      <w:r>
        <w:rPr>
          <w:b/>
          <w:sz w:val="22"/>
        </w:rPr>
        <w:t>Via Overnight Delivery</w:t>
      </w:r>
    </w:p>
    <w:p>
      <w:pPr>
        <w:pStyle w:val="Normal"/>
        <w:rPr>
          <w:sz w:val="22"/>
        </w:rPr>
      </w:pPr>
      <w:r>
        <w:rPr>
          <w:sz w:val="22"/>
        </w:rPr>
        <w:t>Southern Company Services, Inc.</w:t>
      </w:r>
    </w:p>
    <w:p>
      <w:pPr>
        <w:pStyle w:val="Normal"/>
        <w:rPr>
          <w:sz w:val="22"/>
        </w:rPr>
      </w:pPr>
      <w:r>
        <w:rPr>
          <w:sz w:val="22"/>
        </w:rPr>
        <w:t>14N-8162</w:t>
      </w:r>
    </w:p>
    <w:p>
      <w:pPr>
        <w:pStyle w:val="Normal"/>
        <w:rPr/>
      </w:pPr>
      <w:r>
        <w:rPr>
          <w:sz w:val="22"/>
        </w:rPr>
        <w:t>600 North 18</w:t>
      </w:r>
      <w:r>
        <w:rPr>
          <w:sz w:val="22"/>
          <w:vertAlign w:val="superscript"/>
        </w:rPr>
        <w:t>th</w:t>
      </w:r>
      <w:r>
        <w:rPr>
          <w:sz w:val="22"/>
        </w:rPr>
        <w:t xml:space="preserve"> Street</w:t>
      </w:r>
    </w:p>
    <w:p>
      <w:pPr>
        <w:pStyle w:val="Normal"/>
        <w:rPr>
          <w:sz w:val="22"/>
        </w:rPr>
      </w:pPr>
      <w:r>
        <w:rPr>
          <w:sz w:val="22"/>
        </w:rPr>
        <w:t>Birmingham, Alabama 35203-8162</w:t>
      </w:r>
    </w:p>
    <w:p>
      <w:pPr>
        <w:pStyle w:val="Heading4"/>
        <w:ind w:hanging="0" w:start="0"/>
        <w:rPr>
          <w:rFonts w:ascii="Times New Roman" w:hAnsi="Times New Roman" w:cs="Times New Roman"/>
          <w:sz w:val="22"/>
        </w:rPr>
      </w:pPr>
      <w:r>
        <w:rPr>
          <w:rFonts w:cs="Times New Roman" w:ascii="Times New Roman" w:hAnsi="Times New Roman"/>
          <w:sz w:val="22"/>
        </w:rPr>
        <w:t>Re:</w:t>
        <w:tab/>
        <w:t>Elba Island Proposal</w:t>
      </w:r>
    </w:p>
    <w:p>
      <w:pPr>
        <w:pStyle w:val="Header"/>
        <w:tabs>
          <w:tab w:val="clear" w:pos="4320"/>
          <w:tab w:val="clear" w:pos="8640"/>
        </w:tabs>
        <w:rPr>
          <w:rFonts w:ascii="Times New Roman" w:hAnsi="Times New Roman" w:cs="Times New Roman"/>
          <w:sz w:val="22"/>
        </w:rPr>
      </w:pPr>
      <w:r>
        <w:rPr>
          <w:rFonts w:cs="Times New Roman"/>
          <w:sz w:val="22"/>
        </w:rPr>
      </w:r>
    </w:p>
    <w:p>
      <w:pPr>
        <w:pStyle w:val="Normal"/>
        <w:rPr>
          <w:sz w:val="22"/>
        </w:rPr>
      </w:pPr>
      <w:r>
        <w:rPr>
          <w:sz w:val="22"/>
        </w:rPr>
        <w:t>Dear Alan:</w:t>
      </w:r>
    </w:p>
    <w:p>
      <w:pPr>
        <w:pStyle w:val="Normal"/>
        <w:rPr>
          <w:sz w:val="22"/>
        </w:rPr>
      </w:pPr>
      <w:r>
        <w:rPr>
          <w:sz w:val="22"/>
        </w:rPr>
      </w:r>
    </w:p>
    <w:p>
      <w:pPr>
        <w:pStyle w:val="Normal"/>
        <w:rPr>
          <w:sz w:val="22"/>
        </w:rPr>
      </w:pPr>
      <w:r>
        <w:rPr>
          <w:sz w:val="22"/>
        </w:rPr>
        <w:t>As a follow-up to our meeting in Birmingham a couple of weeks ago, Enron North America is pleased to offer the following term gas supply.  Please note the following information:</w:t>
      </w:r>
    </w:p>
    <w:p>
      <w:pPr>
        <w:pStyle w:val="Normal"/>
        <w:rPr>
          <w:sz w:val="22"/>
        </w:rPr>
      </w:pPr>
      <w:r>
        <w:rPr>
          <w:sz w:val="22"/>
        </w:rPr>
      </w:r>
    </w:p>
    <w:p>
      <w:pPr>
        <w:pStyle w:val="Heading9"/>
        <w:ind w:hanging="0" w:start="0"/>
        <w:jc w:val="start"/>
        <w:rPr/>
      </w:pPr>
      <w:r>
        <w:rPr/>
        <w:t>Seller:</w:t>
        <w:tab/>
        <w:tab/>
      </w:r>
      <w:r>
        <w:rPr>
          <w:b w:val="false"/>
        </w:rPr>
        <w:t>Enron North America Corp. (“ENA”)</w:t>
      </w:r>
    </w:p>
    <w:p>
      <w:pPr>
        <w:pStyle w:val="Normal"/>
        <w:rPr>
          <w:b/>
          <w:sz w:val="22"/>
        </w:rPr>
      </w:pPr>
      <w:r>
        <w:rPr>
          <w:b/>
          <w:sz w:val="22"/>
        </w:rPr>
      </w:r>
    </w:p>
    <w:p>
      <w:pPr>
        <w:pStyle w:val="Heading9"/>
        <w:ind w:hanging="0" w:start="0"/>
        <w:jc w:val="start"/>
        <w:rPr/>
      </w:pPr>
      <w:r>
        <w:rPr/>
        <w:t>Buyer:</w:t>
        <w:tab/>
        <w:tab/>
      </w:r>
      <w:r>
        <w:rPr>
          <w:b w:val="false"/>
        </w:rPr>
        <w:t>Southern Company Services (“SCS”)</w:t>
      </w:r>
    </w:p>
    <w:p>
      <w:pPr>
        <w:pStyle w:val="Header"/>
        <w:tabs>
          <w:tab w:val="clear" w:pos="4320"/>
          <w:tab w:val="clear" w:pos="8640"/>
        </w:tabs>
        <w:jc w:val="center"/>
        <w:rPr>
          <w:b/>
          <w:sz w:val="22"/>
        </w:rPr>
      </w:pPr>
      <w:r>
        <w:rPr>
          <w:b/>
          <w:sz w:val="22"/>
        </w:rPr>
      </w:r>
    </w:p>
    <w:p>
      <w:pPr>
        <w:pStyle w:val="Header"/>
        <w:tabs>
          <w:tab w:val="clear" w:pos="4320"/>
          <w:tab w:val="clear" w:pos="8640"/>
        </w:tabs>
        <w:jc w:val="center"/>
        <w:rPr>
          <w:b/>
          <w:sz w:val="22"/>
        </w:rPr>
      </w:pPr>
      <w:r>
        <w:rPr>
          <w:b/>
          <w:sz w:val="22"/>
        </w:rPr>
        <w:t>Delivery Point(s)</w:t>
      </w:r>
    </w:p>
    <w:p>
      <w:pPr>
        <w:pStyle w:val="Heading1"/>
        <w:tabs>
          <w:tab w:val="clear" w:pos="720"/>
          <w:tab w:val="left" w:pos="360" w:leader="none"/>
        </w:tabs>
        <w:ind w:hanging="2160" w:start="2160" w:end="0"/>
        <w:jc w:val="both"/>
        <w:rPr>
          <w:b w:val="false"/>
          <w:sz w:val="22"/>
        </w:rPr>
      </w:pPr>
      <w:r>
        <w:rPr>
          <w:b w:val="false"/>
          <w:sz w:val="22"/>
        </w:rPr>
      </w:r>
    </w:p>
    <w:p>
      <w:pPr>
        <w:pStyle w:val="Heading1"/>
        <w:tabs>
          <w:tab w:val="clear" w:pos="720"/>
          <w:tab w:val="left" w:pos="360" w:leader="none"/>
        </w:tabs>
        <w:ind w:hanging="0" w:start="0"/>
        <w:jc w:val="both"/>
        <w:rPr>
          <w:b w:val="false"/>
          <w:caps w:val="false"/>
          <w:smallCaps w:val="false"/>
        </w:rPr>
      </w:pPr>
      <w:r>
        <w:rPr>
          <w:b w:val="false"/>
          <w:caps w:val="false"/>
          <w:smallCaps w:val="false"/>
        </w:rPr>
        <w:t>Primary Point:</w:t>
        <w:tab/>
        <w:tab/>
        <w:t>Elba Island Plant connected into Southern Natural Gas Company.</w:t>
      </w:r>
    </w:p>
    <w:p>
      <w:pPr>
        <w:pStyle w:val="Heading1"/>
        <w:tabs>
          <w:tab w:val="clear" w:pos="720"/>
          <w:tab w:val="left" w:pos="360" w:leader="none"/>
        </w:tabs>
        <w:ind w:hanging="0" w:start="0"/>
        <w:jc w:val="both"/>
        <w:rPr>
          <w:b w:val="false"/>
          <w:caps w:val="false"/>
          <w:smallCaps w:val="false"/>
        </w:rPr>
      </w:pPr>
      <w:r>
        <w:rPr>
          <w:b w:val="false"/>
          <w:caps w:val="false"/>
          <w:smallCaps w:val="false"/>
        </w:rPr>
      </w:r>
    </w:p>
    <w:p>
      <w:pPr>
        <w:pStyle w:val="Heading1"/>
        <w:tabs>
          <w:tab w:val="clear" w:pos="720"/>
          <w:tab w:val="left" w:pos="360" w:leader="none"/>
        </w:tabs>
        <w:ind w:hanging="2160" w:start="2160" w:end="0"/>
        <w:jc w:val="both"/>
        <w:rPr>
          <w:b w:val="false"/>
          <w:caps w:val="false"/>
          <w:smallCaps w:val="false"/>
        </w:rPr>
      </w:pPr>
      <w:r>
        <w:rPr>
          <w:b w:val="false"/>
          <w:caps w:val="false"/>
          <w:smallCaps w:val="false"/>
        </w:rPr>
        <w:t xml:space="preserve">Secondary Points: </w:t>
        <w:tab/>
        <w:t>Mobile Bay, Destin Pipeline or alternate receipt points as agreed to by Buyer and Seller.</w:t>
      </w:r>
    </w:p>
    <w:p>
      <w:pPr>
        <w:pStyle w:val="Heading1"/>
        <w:ind w:hanging="0" w:start="0"/>
        <w:jc w:val="both"/>
        <w:rPr>
          <w:b w:val="false"/>
          <w:caps w:val="false"/>
          <w:smallCaps w:val="false"/>
          <w:u w:val="single"/>
        </w:rPr>
      </w:pPr>
      <w:r>
        <w:rPr>
          <w:b w:val="false"/>
          <w:caps w:val="false"/>
          <w:smallCaps w:val="false"/>
          <w:u w:val="single"/>
        </w:rPr>
      </w:r>
    </w:p>
    <w:p>
      <w:pPr>
        <w:pStyle w:val="Heading9"/>
        <w:ind w:hanging="0" w:start="0"/>
        <w:rPr/>
      </w:pPr>
      <w:r>
        <w:rPr/>
        <w:t>Term</w:t>
      </w:r>
    </w:p>
    <w:p>
      <w:pPr>
        <w:pStyle w:val="Normal"/>
        <w:rPr>
          <w:sz w:val="22"/>
        </w:rPr>
      </w:pPr>
      <w:r>
        <w:rPr>
          <w:sz w:val="22"/>
        </w:rPr>
      </w:r>
    </w:p>
    <w:p>
      <w:pPr>
        <w:pStyle w:val="BodyText2"/>
        <w:tabs>
          <w:tab w:val="clear" w:pos="360"/>
        </w:tabs>
        <w:rPr/>
      </w:pPr>
      <w:r>
        <w:rPr/>
        <w:t>SCI may choose any length of term between ten and twenty years starting June 1, 2002.  It is anticipated that the Elba Island LNG Terminal shall be operational January 1, 2002.</w:t>
      </w:r>
    </w:p>
    <w:p>
      <w:pPr>
        <w:pStyle w:val="Heading1"/>
        <w:ind w:hanging="0" w:start="0"/>
        <w:jc w:val="both"/>
        <w:rPr>
          <w:i/>
          <w:i/>
          <w:u w:val="single"/>
        </w:rPr>
      </w:pPr>
      <w:r>
        <w:rPr>
          <w:i/>
          <w:u w:val="single"/>
        </w:rPr>
      </w:r>
    </w:p>
    <w:p>
      <w:pPr>
        <w:pStyle w:val="Heading9"/>
        <w:ind w:hanging="0" w:start="0"/>
        <w:rPr/>
      </w:pPr>
      <w:r>
        <w:rPr/>
        <w:t>Quantity</w:t>
      </w:r>
    </w:p>
    <w:p>
      <w:pPr>
        <w:pStyle w:val="Heading1"/>
        <w:ind w:hanging="2160" w:start="2160" w:end="0"/>
        <w:jc w:val="both"/>
        <w:rPr/>
      </w:pPr>
      <w:r>
        <w:rPr/>
      </w:r>
    </w:p>
    <w:p>
      <w:pPr>
        <w:pStyle w:val="Normal"/>
        <w:rPr/>
      </w:pPr>
      <w:r>
        <w:rPr/>
        <w:t>ENA proposes a baseload contract quantity to be at least 50,000 MMBtu/Day.  ENA would be willing to sell up to 160,000 MMBtu/Day of baseload supply if SCS desires a greater quantity.</w:t>
      </w:r>
    </w:p>
    <w:p>
      <w:pPr>
        <w:pStyle w:val="Normal"/>
        <w:rPr/>
      </w:pPr>
      <w:r>
        <w:rPr/>
      </w:r>
    </w:p>
    <w:p>
      <w:pPr>
        <w:pStyle w:val="Normal"/>
        <w:rPr/>
      </w:pPr>
      <w:r>
        <w:rPr/>
      </w:r>
    </w:p>
    <w:p>
      <w:pPr>
        <w:pStyle w:val="Normal"/>
        <w:rPr/>
      </w:pPr>
      <w:r>
        <w:rPr/>
      </w:r>
    </w:p>
    <w:p>
      <w:pPr>
        <w:pStyle w:val="Normal"/>
        <w:rPr/>
      </w:pPr>
      <w:r>
        <w:rPr/>
      </w:r>
    </w:p>
    <w:p>
      <w:pPr>
        <w:pStyle w:val="Normal"/>
        <w:jc w:val="center"/>
        <w:rPr>
          <w:b/>
          <w:sz w:val="22"/>
        </w:rPr>
      </w:pPr>
      <w:r>
        <w:rPr>
          <w:b/>
          <w:sz w:val="22"/>
        </w:rPr>
        <w:t>Price</w:t>
      </w:r>
    </w:p>
    <w:p>
      <w:pPr>
        <w:pStyle w:val="Heading1"/>
        <w:ind w:hanging="2160" w:start="2160" w:end="0"/>
        <w:jc w:val="both"/>
        <w:rPr>
          <w:b w:val="false"/>
          <w:sz w:val="22"/>
        </w:rPr>
      </w:pPr>
      <w:r>
        <w:rPr>
          <w:b w:val="false"/>
          <w:sz w:val="22"/>
        </w:rPr>
      </w:r>
    </w:p>
    <w:p>
      <w:pPr>
        <w:pStyle w:val="Heading1"/>
        <w:ind w:hanging="0" w:start="0"/>
        <w:jc w:val="both"/>
        <w:rPr/>
      </w:pPr>
      <w:r>
        <w:rPr>
          <w:b w:val="false"/>
          <w:caps w:val="false"/>
          <w:smallCaps w:val="false"/>
        </w:rPr>
        <w:t xml:space="preserve">SCS would pay ENA a price per MMBtu at the Delivery Points, equal to the Henry Hub index price as published in the first issue each month of </w:t>
      </w:r>
      <w:r>
        <w:rPr>
          <w:b w:val="false"/>
          <w:i/>
          <w:caps w:val="false"/>
          <w:smallCaps w:val="false"/>
        </w:rPr>
        <w:t>Inside FERC Gas Market Report</w:t>
      </w:r>
      <w:r>
        <w:rPr>
          <w:b w:val="false"/>
          <w:caps w:val="false"/>
          <w:smallCaps w:val="false"/>
        </w:rPr>
        <w:t>, plus nine cents (+$0.09).  In the event that ENA does not provide gas to the Primary Point, then ENA shall have the right to delivery to Secondary Point(s) and the price shall be the aforementioned index plus four cents (+$.04) per MMBtu.</w:t>
      </w:r>
    </w:p>
    <w:p>
      <w:pPr>
        <w:pStyle w:val="Normal"/>
        <w:rPr>
          <w:b/>
          <w:smallCaps/>
        </w:rPr>
      </w:pPr>
      <w:r>
        <w:rPr>
          <w:b/>
          <w:smallCaps/>
        </w:rPr>
      </w:r>
    </w:p>
    <w:p>
      <w:pPr>
        <w:pStyle w:val="Normal"/>
        <w:jc w:val="center"/>
        <w:rPr>
          <w:b/>
          <w:sz w:val="22"/>
        </w:rPr>
      </w:pPr>
      <w:r>
        <w:rPr>
          <w:b/>
          <w:sz w:val="22"/>
        </w:rPr>
        <w:t>NYMEX Trigger</w:t>
      </w:r>
    </w:p>
    <w:p>
      <w:pPr>
        <w:pStyle w:val="Normal"/>
        <w:jc w:val="center"/>
        <w:rPr>
          <w:b/>
          <w:smallCaps/>
          <w:sz w:val="22"/>
        </w:rPr>
      </w:pPr>
      <w:r>
        <w:rPr>
          <w:b/>
          <w:smallCaps/>
          <w:sz w:val="22"/>
        </w:rPr>
      </w:r>
    </w:p>
    <w:p>
      <w:pPr>
        <w:pStyle w:val="Normal"/>
        <w:jc w:val="both"/>
        <w:rPr>
          <w:sz w:val="22"/>
        </w:rPr>
      </w:pPr>
      <w:r>
        <w:rPr>
          <w:sz w:val="22"/>
        </w:rPr>
        <w:t xml:space="preserve">As further described in ENA’s Master Firm Purchase/Sale Agreement, SCS would have the ability to convert all or portions of its contract quantity for any term to a fixed gas price.  </w:t>
      </w:r>
    </w:p>
    <w:p>
      <w:pPr>
        <w:pStyle w:val="Normal"/>
        <w:tabs>
          <w:tab w:val="clear" w:pos="720"/>
          <w:tab w:val="left" w:pos="0" w:leader="none"/>
        </w:tabs>
        <w:jc w:val="both"/>
        <w:rPr>
          <w:b/>
          <w:sz w:val="22"/>
        </w:rPr>
      </w:pPr>
      <w:r>
        <w:rPr>
          <w:b/>
          <w:sz w:val="22"/>
        </w:rPr>
      </w:r>
    </w:p>
    <w:p>
      <w:pPr>
        <w:pStyle w:val="Normal"/>
        <w:jc w:val="center"/>
        <w:rPr>
          <w:b/>
          <w:sz w:val="22"/>
        </w:rPr>
      </w:pPr>
      <w:r>
        <w:rPr>
          <w:b/>
          <w:sz w:val="22"/>
        </w:rPr>
        <w:t>Liquidated Damages</w:t>
      </w:r>
    </w:p>
    <w:p>
      <w:pPr>
        <w:pStyle w:val="Heading6"/>
        <w:ind w:hanging="2160" w:start="2160" w:end="0"/>
        <w:rPr>
          <w:b w:val="false"/>
          <w:sz w:val="22"/>
        </w:rPr>
      </w:pPr>
      <w:r>
        <w:rPr>
          <w:b w:val="false"/>
          <w:sz w:val="22"/>
        </w:rPr>
      </w:r>
    </w:p>
    <w:p>
      <w:pPr>
        <w:pStyle w:val="Heading6"/>
        <w:ind w:hanging="0" w:start="0"/>
        <w:rPr>
          <w:b w:val="false"/>
          <w:caps w:val="false"/>
          <w:smallCaps w:val="false"/>
        </w:rPr>
      </w:pPr>
      <w:r>
        <w:rPr>
          <w:b w:val="false"/>
          <w:caps w:val="false"/>
          <w:smallCaps w:val="false"/>
        </w:rPr>
        <w:t>In the event of either parties’ unexcused failure to schedule or take gas requested on any given day, such party shall pay damages equal to (a) the difference, if positive, between the Gas Daily, Midpoint posting for the specified location and the contract price plus (b) applicable penalties and/or balancing requirements.</w:t>
      </w:r>
    </w:p>
    <w:p>
      <w:pPr>
        <w:pStyle w:val="BodyTextIndent"/>
        <w:ind w:hanging="0" w:start="0" w:end="0"/>
        <w:rPr>
          <w:b/>
          <w:smallCaps/>
        </w:rPr>
      </w:pPr>
      <w:r>
        <w:rPr>
          <w:b/>
          <w:smallCaps/>
        </w:rPr>
      </w:r>
    </w:p>
    <w:p>
      <w:pPr>
        <w:pStyle w:val="BodyTextIndent"/>
        <w:keepNext w:val="true"/>
        <w:keepLines/>
        <w:tabs>
          <w:tab w:val="clear" w:pos="360"/>
          <w:tab w:val="left" w:pos="0" w:leader="none"/>
        </w:tabs>
        <w:ind w:hanging="0" w:start="0" w:end="0"/>
        <w:rPr/>
      </w:pPr>
      <w:r>
        <w:rPr/>
        <w:t xml:space="preserve">ENA and SCS will exercise reasonable efforts for mitigation of replacement costs and associated factors.  Both parties would be obligated to inform the other party of its intent to replace gas markets or supplies, respectively, prior to taking such actions.  </w:t>
      </w:r>
    </w:p>
    <w:p>
      <w:pPr>
        <w:pStyle w:val="BodyText2"/>
        <w:tabs>
          <w:tab w:val="clear" w:pos="360"/>
        </w:tabs>
        <w:rPr/>
      </w:pPr>
      <w:r>
        <w:rPr/>
      </w:r>
    </w:p>
    <w:p>
      <w:pPr>
        <w:pStyle w:val="Normal"/>
        <w:jc w:val="center"/>
        <w:rPr>
          <w:b/>
          <w:sz w:val="22"/>
        </w:rPr>
      </w:pPr>
      <w:r>
        <w:rPr>
          <w:b/>
          <w:sz w:val="22"/>
        </w:rPr>
        <w:t>Force Majeure</w:t>
      </w:r>
    </w:p>
    <w:p>
      <w:pPr>
        <w:pStyle w:val="Heading1"/>
        <w:ind w:hanging="2160" w:start="2160" w:end="0"/>
        <w:jc w:val="both"/>
        <w:rPr>
          <w:b w:val="false"/>
          <w:sz w:val="22"/>
        </w:rPr>
      </w:pPr>
      <w:r>
        <w:rPr>
          <w:b w:val="false"/>
          <w:sz w:val="22"/>
        </w:rPr>
      </w:r>
    </w:p>
    <w:p>
      <w:pPr>
        <w:pStyle w:val="Heading1"/>
        <w:ind w:hanging="0" w:start="0"/>
        <w:jc w:val="both"/>
        <w:rPr>
          <w:b w:val="false"/>
        </w:rPr>
      </w:pPr>
      <w:r>
        <w:rPr>
          <w:b w:val="false"/>
          <w:caps w:val="false"/>
          <w:smallCaps w:val="false"/>
        </w:rPr>
        <w:t>Industry standard force majeure provisions would apply, however it is expressly understood that failure to utilize firm transportation is not a force majeure condition.</w:t>
      </w:r>
    </w:p>
    <w:p>
      <w:pPr>
        <w:pStyle w:val="Heading1"/>
        <w:ind w:hanging="0" w:start="0"/>
        <w:jc w:val="both"/>
        <w:rPr>
          <w:b w:val="false"/>
        </w:rPr>
      </w:pPr>
      <w:r>
        <w:rPr>
          <w:b w:val="false"/>
        </w:rPr>
      </w:r>
    </w:p>
    <w:p>
      <w:pPr>
        <w:pStyle w:val="Heading9"/>
        <w:ind w:hanging="0" w:start="0"/>
        <w:rPr/>
      </w:pPr>
      <w:r>
        <w:rPr/>
        <w:t>Regulatory Out</w:t>
      </w:r>
    </w:p>
    <w:p>
      <w:pPr>
        <w:pStyle w:val="Normal"/>
        <w:rPr/>
      </w:pPr>
      <w:r>
        <w:rPr/>
      </w:r>
    </w:p>
    <w:p>
      <w:pPr>
        <w:pStyle w:val="Normal"/>
        <w:rPr>
          <w:sz w:val="22"/>
        </w:rPr>
      </w:pPr>
      <w:r>
        <w:rPr>
          <w:sz w:val="22"/>
        </w:rPr>
        <w:t>This offer is contingent on the Elba Island Plant acquiring the necessary permits and approvals from the proper state and local authorities.  In the event such permits are delayed or refused, ENA shall be relieved of its’ supply obligation accordingly.</w:t>
      </w:r>
    </w:p>
    <w:p>
      <w:pPr>
        <w:pStyle w:val="Normal"/>
        <w:rPr>
          <w:sz w:val="22"/>
        </w:rPr>
      </w:pPr>
      <w:r>
        <w:rPr>
          <w:sz w:val="22"/>
        </w:rPr>
      </w:r>
    </w:p>
    <w:p>
      <w:pPr>
        <w:pStyle w:val="Heading9"/>
        <w:ind w:hanging="0" w:start="0"/>
        <w:rPr/>
      </w:pPr>
      <w:r>
        <w:rPr/>
        <w:t>Transportation</w:t>
      </w:r>
    </w:p>
    <w:p>
      <w:pPr>
        <w:pStyle w:val="Normal"/>
        <w:rPr>
          <w:sz w:val="22"/>
        </w:rPr>
      </w:pPr>
      <w:r>
        <w:rPr>
          <w:sz w:val="22"/>
        </w:rPr>
      </w:r>
    </w:p>
    <w:p>
      <w:pPr>
        <w:pStyle w:val="Normal"/>
        <w:rPr>
          <w:sz w:val="22"/>
        </w:rPr>
      </w:pPr>
      <w:r>
        <w:rPr>
          <w:sz w:val="22"/>
        </w:rPr>
        <w:t xml:space="preserve">ENA may request SCS to assign firm transportation capacity to ENA on Sonat equal to the contract quantity.  SCS would retain the right to nominate such gas to its’ facilities.   </w:t>
      </w:r>
    </w:p>
    <w:p>
      <w:pPr>
        <w:pStyle w:val="Normal"/>
        <w:rPr>
          <w:sz w:val="22"/>
        </w:rPr>
      </w:pPr>
      <w:r>
        <w:rPr>
          <w:sz w:val="22"/>
        </w:rPr>
      </w:r>
    </w:p>
    <w:p>
      <w:pPr>
        <w:pStyle w:val="Normal"/>
        <w:jc w:val="center"/>
        <w:rPr>
          <w:b/>
          <w:sz w:val="22"/>
        </w:rPr>
      </w:pPr>
      <w:r>
        <w:rPr>
          <w:b/>
          <w:sz w:val="22"/>
        </w:rPr>
        <w:t>Confidentiality</w:t>
      </w:r>
    </w:p>
    <w:p>
      <w:pPr>
        <w:pStyle w:val="Heading1"/>
        <w:ind w:hanging="2160" w:start="2160" w:end="0"/>
        <w:jc w:val="both"/>
        <w:rPr>
          <w:b w:val="false"/>
          <w:sz w:val="22"/>
        </w:rPr>
      </w:pPr>
      <w:r>
        <w:rPr>
          <w:b w:val="false"/>
          <w:sz w:val="22"/>
        </w:rPr>
      </w:r>
    </w:p>
    <w:p>
      <w:pPr>
        <w:pStyle w:val="Heading1"/>
        <w:ind w:hanging="0" w:start="0"/>
        <w:jc w:val="both"/>
        <w:rPr>
          <w:b w:val="false"/>
          <w:caps w:val="false"/>
          <w:smallCaps w:val="false"/>
        </w:rPr>
      </w:pPr>
      <w:r>
        <w:rPr>
          <w:b w:val="false"/>
          <w:caps w:val="false"/>
          <w:smallCaps w:val="false"/>
        </w:rPr>
        <w:t>All terms and conditions of this proposal are proprietary trade secrets of ENA and must be kept confidential between SCS, ENA and their duly appointed agents.</w:t>
      </w:r>
    </w:p>
    <w:p>
      <w:pPr>
        <w:pStyle w:val="Normal"/>
        <w:jc w:val="both"/>
        <w:rPr>
          <w:i/>
          <w:i/>
          <w:sz w:val="22"/>
        </w:rPr>
      </w:pPr>
      <w:r>
        <w:rPr>
          <w:i/>
          <w:sz w:val="22"/>
        </w:rPr>
      </w:r>
    </w:p>
    <w:p>
      <w:pPr>
        <w:pStyle w:val="Normal"/>
        <w:keepNext w:val="true"/>
        <w:keepLines/>
        <w:tabs>
          <w:tab w:val="clear" w:pos="720"/>
          <w:tab w:val="left" w:pos="0" w:leader="none"/>
        </w:tabs>
        <w:jc w:val="both"/>
        <w:rPr>
          <w:b/>
          <w:i/>
          <w:i/>
          <w:sz w:val="22"/>
        </w:rPr>
      </w:pPr>
      <w:r>
        <w:rPr>
          <w:b/>
          <w:i/>
          <w:sz w:val="22"/>
        </w:rPr>
        <w:t xml:space="preserve">The prices in this proposal are subject to change until a final agreement is reached.  This proposal is for discussion purposes only to facilitate the negotiation, preparation, and execution of definitive agreements.  This is not an offer or commitment of Seller or any of its affiliates to enter into any transaction.  The transaction described herein is subject to prior sale and to further review and approval of the Boards of Directors of both the Seller and Buyer, and execution of definitive agreements containing all appropriate provisions, including those related to credit and limitation of damages and remedies.  </w:t>
      </w:r>
    </w:p>
    <w:p>
      <w:pPr>
        <w:pStyle w:val="Normal"/>
        <w:keepNext w:val="true"/>
        <w:keepLines/>
        <w:tabs>
          <w:tab w:val="clear" w:pos="720"/>
          <w:tab w:val="left" w:pos="0" w:leader="none"/>
        </w:tabs>
        <w:jc w:val="both"/>
        <w:rPr>
          <w:b/>
          <w:i/>
          <w:i/>
          <w:sz w:val="22"/>
        </w:rPr>
      </w:pPr>
      <w:r>
        <w:rPr>
          <w:b/>
          <w:i/>
          <w:sz w:val="22"/>
        </w:rPr>
      </w:r>
    </w:p>
    <w:p>
      <w:pPr>
        <w:pStyle w:val="BodyText2"/>
        <w:keepNext w:val="true"/>
        <w:keepLines/>
        <w:tabs>
          <w:tab w:val="clear" w:pos="360"/>
          <w:tab w:val="left" w:pos="0" w:leader="none"/>
        </w:tabs>
        <w:rPr/>
      </w:pPr>
      <w:r>
        <w:rPr/>
        <w:t>I look forward to any questions you might have and the opportunity to serve your natural gas requirements.  I can be reached at 713-853-7912.</w:t>
      </w:r>
    </w:p>
    <w:p>
      <w:pPr>
        <w:pStyle w:val="Normal"/>
        <w:keepNext w:val="true"/>
        <w:keepLines/>
        <w:tabs>
          <w:tab w:val="clear" w:pos="720"/>
          <w:tab w:val="left" w:pos="0" w:leader="none"/>
        </w:tabs>
        <w:jc w:val="both"/>
        <w:rPr>
          <w:sz w:val="22"/>
        </w:rPr>
      </w:pPr>
      <w:r>
        <w:rPr>
          <w:sz w:val="22"/>
        </w:rPr>
      </w:r>
    </w:p>
    <w:p>
      <w:pPr>
        <w:pStyle w:val="Normal"/>
        <w:keepNext w:val="true"/>
        <w:keepLines/>
        <w:tabs>
          <w:tab w:val="clear" w:pos="720"/>
          <w:tab w:val="left" w:pos="0" w:leader="none"/>
        </w:tabs>
        <w:jc w:val="both"/>
        <w:rPr>
          <w:sz w:val="22"/>
        </w:rPr>
      </w:pPr>
      <w:r>
        <w:rPr>
          <w:sz w:val="22"/>
        </w:rPr>
        <w:t>Very truly yours,</w:t>
      </w:r>
    </w:p>
    <w:p>
      <w:pPr>
        <w:pStyle w:val="Normal"/>
        <w:keepNext w:val="true"/>
        <w:keepLines/>
        <w:tabs>
          <w:tab w:val="clear" w:pos="720"/>
          <w:tab w:val="left" w:pos="0" w:leader="none"/>
        </w:tabs>
        <w:jc w:val="both"/>
        <w:rPr>
          <w:sz w:val="22"/>
        </w:rPr>
      </w:pPr>
      <w:r>
        <w:rPr>
          <w:sz w:val="22"/>
        </w:rPr>
      </w:r>
    </w:p>
    <w:p>
      <w:pPr>
        <w:pStyle w:val="Normal"/>
        <w:keepNext w:val="true"/>
        <w:keepLines/>
        <w:tabs>
          <w:tab w:val="clear" w:pos="720"/>
          <w:tab w:val="left" w:pos="0" w:leader="none"/>
        </w:tabs>
        <w:jc w:val="both"/>
        <w:rPr>
          <w:sz w:val="22"/>
        </w:rPr>
      </w:pPr>
      <w:r>
        <w:rPr>
          <w:sz w:val="22"/>
        </w:rPr>
      </w:r>
    </w:p>
    <w:p>
      <w:pPr>
        <w:pStyle w:val="Normal"/>
        <w:keepNext w:val="true"/>
        <w:keepLines/>
        <w:tabs>
          <w:tab w:val="clear" w:pos="720"/>
          <w:tab w:val="left" w:pos="0" w:leader="none"/>
        </w:tabs>
        <w:jc w:val="both"/>
        <w:rPr>
          <w:sz w:val="22"/>
        </w:rPr>
      </w:pPr>
      <w:r>
        <w:rPr>
          <w:sz w:val="22"/>
        </w:rPr>
      </w:r>
    </w:p>
    <w:p>
      <w:pPr>
        <w:pStyle w:val="Normal"/>
        <w:keepNext w:val="true"/>
        <w:keepLines/>
        <w:tabs>
          <w:tab w:val="clear" w:pos="720"/>
          <w:tab w:val="left" w:pos="0" w:leader="none"/>
        </w:tabs>
        <w:jc w:val="both"/>
        <w:rPr>
          <w:sz w:val="22"/>
        </w:rPr>
      </w:pPr>
      <w:r>
        <w:rPr>
          <w:sz w:val="22"/>
        </w:rPr>
        <w:t>Phil DeMoes</w:t>
      </w:r>
    </w:p>
    <w:p>
      <w:pPr>
        <w:pStyle w:val="Normal"/>
        <w:keepNext w:val="true"/>
        <w:keepLines/>
        <w:tabs>
          <w:tab w:val="clear" w:pos="720"/>
          <w:tab w:val="left" w:pos="0" w:leader="none"/>
        </w:tabs>
        <w:jc w:val="both"/>
        <w:rPr>
          <w:sz w:val="22"/>
        </w:rPr>
      </w:pPr>
      <w:r>
        <w:rPr>
          <w:sz w:val="22"/>
        </w:rPr>
        <w:t>Director</w:t>
      </w:r>
    </w:p>
    <w:p>
      <w:pPr>
        <w:pStyle w:val="Normal"/>
        <w:keepNext w:val="true"/>
        <w:keepLines/>
        <w:tabs>
          <w:tab w:val="clear" w:pos="720"/>
          <w:tab w:val="left" w:pos="0" w:leader="none"/>
        </w:tabs>
        <w:jc w:val="both"/>
        <w:rPr>
          <w:sz w:val="22"/>
        </w:rPr>
      </w:pPr>
      <w:r>
        <w:rPr>
          <w:sz w:val="22"/>
        </w:rPr>
        <w:t>Enron North America</w:t>
      </w:r>
    </w:p>
    <w:sectPr>
      <w:footerReference w:type="default" r:id="rId2"/>
      <w:footerReference w:type="first" r:id="rId3"/>
      <w:type w:val="nextPage"/>
      <w:pgSz w:w="12240" w:h="15840"/>
      <w:pgMar w:left="1440" w:right="1440" w:gutter="0" w:header="0" w:top="1440" w:footer="869" w:bottom="180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rStyle w:val="PageNumber"/>
        <w:lang w:eastAsia="en-US"/>
      </w:rPr>
      <w:drawing>
        <wp:inline distT="0" distB="0" distL="0" distR="0">
          <wp:extent cx="1714500" cy="7620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21" t="-47" r="-21" b="-47"/>
                  <a:stretch>
                    <a:fillRect/>
                  </a:stretch>
                </pic:blipFill>
                <pic:spPr bwMode="auto">
                  <a:xfrm>
                    <a:off x="0" y="0"/>
                    <a:ext cx="1714500" cy="762000"/>
                  </a:xfrm>
                  <a:prstGeom prst="rect">
                    <a:avLst/>
                  </a:prstGeom>
                  <a:noFill/>
                </pic:spPr>
              </pic:pic>
            </a:graphicData>
          </a:graphic>
        </wp:inline>
      </w:drawing>
    </w:r>
    <w:r>
      <w:rPr>
        <w:rStyle w:val="PageNumber"/>
        <w:lang w:eastAsia="en-US"/>
      </w:rPr>
      <w:tab/>
      <w:t xml:space="preserve">Page </w:t>
    </w:r>
    <w:r>
      <w:rPr>
        <w:rStyle w:val="PageNumber"/>
        <w:lang w:eastAsia="en-US"/>
      </w:rPr>
      <w:fldChar w:fldCharType="begin"/>
    </w:r>
    <w:r>
      <w:rPr>
        <w:rStyle w:val="PageNumber"/>
        <w:lang w:eastAsia="en-US"/>
      </w:rPr>
      <w:instrText xml:space="preserve"> PAGE </w:instrText>
    </w:r>
    <w:r>
      <w:rPr>
        <w:rStyle w:val="PageNumber"/>
        <w:lang w:eastAsia="en-US"/>
      </w:rPr>
      <w:fldChar w:fldCharType="separate"/>
    </w:r>
    <w:r>
      <w:rPr>
        <w:rStyle w:val="PageNumber"/>
        <w:lang w:eastAsia="en-US"/>
      </w:rPr>
      <w:t>3</w:t>
    </w:r>
    <w:r>
      <w:rPr>
        <w:rStyle w:val="PageNumber"/>
        <w:lang w:eastAsia="en-US"/>
      </w:rPr>
      <w:fldChar w:fldCharType="end"/>
    </w:r>
    <w:r>
      <w:rPr>
        <w:rStyle w:val="PageNumber"/>
        <w:lang w:eastAsia="en-US"/>
      </w:rPr>
      <w:t xml:space="preserve"> of 3</w:t>
      <w:tab/>
    </w:r>
    <w:r>
      <w:rPr/>
      <w:drawing>
        <wp:inline distT="0" distB="0" distL="0" distR="0">
          <wp:extent cx="695325" cy="714375"/>
          <wp:effectExtent l="0" t="0" r="0" b="0"/>
          <wp:docPr id="2"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descr="" title=""/>
                  <pic:cNvPicPr>
                    <a:picLocks noChangeAspect="1" noChangeArrowheads="1"/>
                  </pic:cNvPicPr>
                </pic:nvPicPr>
                <pic:blipFill>
                  <a:blip r:embed="rId2"/>
                  <a:srcRect l="-52" t="-50" r="-52" b="-50"/>
                  <a:stretch>
                    <a:fillRect/>
                  </a:stretch>
                </pic:blipFill>
                <pic:spPr bwMode="auto">
                  <a:xfrm>
                    <a:off x="0" y="0"/>
                    <a:ext cx="695325" cy="714375"/>
                  </a:xfrm>
                  <a:prstGeom prst="rect">
                    <a:avLst/>
                  </a:prstGeom>
                  <a:noFill/>
                </pic:spPr>
              </pic:pic>
            </a:graphicData>
          </a:graphic>
        </wp:inline>
      </w:drawing>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14605" cy="177165"/>
              <wp:effectExtent l="0" t="0" r="0" b="0"/>
              <wp:wrapSquare wrapText="bothSides"/>
              <wp:docPr id="3" name="Frame1"/>
              <a:graphic xmlns:a="http://schemas.openxmlformats.org/drawingml/2006/main">
                <a:graphicData uri="http://schemas.microsoft.com/office/word/2010/wordprocessingShape">
                  <wps:wsp>
                    <wps:cNvSpPr txBox="1"/>
                    <wps:spPr>
                      <a:xfrm>
                        <a:off x="0" y="0"/>
                        <a:ext cx="14605" cy="17716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95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tabs>
        <w:tab w:val="clear" w:pos="8640"/>
        <w:tab w:val="center" w:pos="4320" w:leader="none"/>
        <w:tab w:val="right" w:pos="9630" w:leader="none"/>
      </w:tabs>
      <w:ind w:end="-990"/>
      <w:jc w:val="center"/>
      <w:rPr/>
    </w:pPr>
    <w:r>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lang w:eastAsia="en-US"/>
      </w:rPr>
      <w:drawing>
        <wp:inline distT="0" distB="0" distL="0" distR="0">
          <wp:extent cx="1714500" cy="762000"/>
          <wp:effectExtent l="0" t="0" r="0" b="0"/>
          <wp:docPr id="4" name="southernc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outhernco" descr="" title=""/>
                  <pic:cNvPicPr>
                    <a:picLocks noChangeAspect="1" noChangeArrowheads="1"/>
                  </pic:cNvPicPr>
                </pic:nvPicPr>
                <pic:blipFill>
                  <a:blip r:embed="rId1"/>
                  <a:srcRect l="-21" t="-47" r="-21" b="-47"/>
                  <a:stretch>
                    <a:fillRect/>
                  </a:stretch>
                </pic:blipFill>
                <pic:spPr bwMode="auto">
                  <a:xfrm>
                    <a:off x="0" y="0"/>
                    <a:ext cx="1714500" cy="762000"/>
                  </a:xfrm>
                  <a:prstGeom prst="rect">
                    <a:avLst/>
                  </a:prstGeom>
                  <a:noFill/>
                </pic:spPr>
              </pic:pic>
            </a:graphicData>
          </a:graphic>
        </wp:inline>
      </w:drawing>
    </w:r>
    <w:r>
      <w:rPr>
        <w:rStyle w:val="PageNumber"/>
        <w:lang w:eastAsia="en-US"/>
      </w:rPr>
      <w:tab/>
    </w:r>
    <w:r>
      <w:rPr>
        <w:lang w:eastAsia="en-US"/>
      </w:rPr>
      <w:t xml:space="preserve">Page </w:t>
    </w:r>
    <w:r>
      <w:rPr>
        <w:lang w:eastAsia="en-US"/>
      </w:rPr>
      <w:fldChar w:fldCharType="begin"/>
    </w:r>
    <w:r>
      <w:rPr>
        <w:lang w:eastAsia="en-US"/>
      </w:rPr>
      <w:instrText xml:space="preserve"> PAGE </w:instrText>
    </w:r>
    <w:r>
      <w:rPr>
        <w:lang w:eastAsia="en-US"/>
      </w:rPr>
      <w:fldChar w:fldCharType="separate"/>
    </w:r>
    <w:r>
      <w:rPr>
        <w:lang w:eastAsia="en-US"/>
      </w:rPr>
      <w:t>1</w:t>
    </w:r>
    <w:r>
      <w:rPr>
        <w:lang w:eastAsia="en-US"/>
      </w:rPr>
      <w:fldChar w:fldCharType="end"/>
    </w:r>
    <w:r>
      <w:rPr>
        <w:lang w:eastAsia="en-US"/>
      </w:rPr>
      <w:t xml:space="preserve"> of 2</w:t>
    </w:r>
    <w:r>
      <w:rPr/>
      <w:tab/>
    </w:r>
    <w:r>
      <w:rPr/>
      <w:drawing>
        <wp:inline distT="0" distB="0" distL="0" distR="0">
          <wp:extent cx="695325" cy="714375"/>
          <wp:effectExtent l="0" t="0" r="0" b="0"/>
          <wp:docPr id="5"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title=""/>
                  <pic:cNvPicPr>
                    <a:picLocks noChangeAspect="1" noChangeArrowheads="1"/>
                  </pic:cNvPicPr>
                </pic:nvPicPr>
                <pic:blipFill>
                  <a:blip r:embed="rId2"/>
                  <a:srcRect l="-52" t="-50" r="-52" b="-50"/>
                  <a:stretch>
                    <a:fillRect/>
                  </a:stretch>
                </pic:blipFill>
                <pic:spPr bwMode="auto">
                  <a:xfrm>
                    <a:off x="0" y="0"/>
                    <a:ext cx="695325" cy="714375"/>
                  </a:xfrm>
                  <a:prstGeom prst="rect">
                    <a:avLst/>
                  </a:prstGeom>
                  <a:noFill/>
                </pic:spPr>
              </pic:pic>
            </a:graphicData>
          </a:graphic>
        </wp:inline>
      </w:drawing>
    </w:r>
    <w:r>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mallCaps/>
      <w:sz w:val="22"/>
    </w:rPr>
  </w:style>
  <w:style w:type="paragraph" w:styleId="Heading2">
    <w:name w:val="heading 2"/>
    <w:basedOn w:val="Normal"/>
    <w:next w:val="Normal"/>
    <w:qFormat/>
    <w:pPr>
      <w:keepNext w:val="true"/>
      <w:numPr>
        <w:ilvl w:val="1"/>
        <w:numId w:val="1"/>
      </w:numPr>
      <w:tabs>
        <w:tab w:val="clear" w:pos="720"/>
        <w:tab w:val="left" w:pos="360" w:leader="none"/>
      </w:tabs>
      <w:ind w:hanging="720" w:start="0" w:end="0"/>
      <w:jc w:val="center"/>
      <w:outlineLvl w:val="1"/>
    </w:pPr>
    <w:rPr>
      <w:b/>
      <w:smallCaps/>
      <w:sz w:val="22"/>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keepNext w:val="true"/>
      <w:numPr>
        <w:ilvl w:val="4"/>
        <w:numId w:val="1"/>
      </w:numPr>
      <w:tabs>
        <w:tab w:val="clear" w:pos="720"/>
        <w:tab w:val="left" w:pos="0" w:leader="none"/>
      </w:tabs>
      <w:jc w:val="center"/>
      <w:outlineLvl w:val="4"/>
    </w:pPr>
    <w:rPr>
      <w:b/>
      <w:sz w:val="22"/>
      <w:u w:val="single"/>
    </w:rPr>
  </w:style>
  <w:style w:type="paragraph" w:styleId="Heading6">
    <w:name w:val="heading 6"/>
    <w:basedOn w:val="Normal"/>
    <w:next w:val="Normal"/>
    <w:qFormat/>
    <w:pPr>
      <w:keepNext w:val="true"/>
      <w:numPr>
        <w:ilvl w:val="5"/>
        <w:numId w:val="1"/>
      </w:numPr>
      <w:jc w:val="both"/>
      <w:outlineLvl w:val="5"/>
    </w:pPr>
    <w:rPr>
      <w:b/>
      <w:smallCaps/>
      <w:sz w:val="22"/>
    </w:rPr>
  </w:style>
  <w:style w:type="paragraph" w:styleId="Heading7">
    <w:name w:val="heading 7"/>
    <w:basedOn w:val="Normal"/>
    <w:next w:val="Normal"/>
    <w:qFormat/>
    <w:pPr>
      <w:keepNext w:val="true"/>
      <w:numPr>
        <w:ilvl w:val="6"/>
        <w:numId w:val="1"/>
      </w:numPr>
      <w:jc w:val="center"/>
      <w:outlineLvl w:val="6"/>
    </w:pPr>
    <w:rPr>
      <w:b/>
      <w:u w:val="single"/>
    </w:rPr>
  </w:style>
  <w:style w:type="paragraph" w:styleId="Heading8">
    <w:name w:val="heading 8"/>
    <w:basedOn w:val="Normal"/>
    <w:next w:val="Normal"/>
    <w:qFormat/>
    <w:pPr>
      <w:keepNext w:val="true"/>
      <w:numPr>
        <w:ilvl w:val="7"/>
        <w:numId w:val="1"/>
      </w:numPr>
      <w:tabs>
        <w:tab w:val="clear" w:pos="720"/>
        <w:tab w:val="left" w:pos="2160" w:leader="none"/>
      </w:tabs>
      <w:ind w:hanging="2160" w:start="2160" w:end="0"/>
      <w:outlineLvl w:val="7"/>
    </w:pPr>
    <w:rPr>
      <w:b/>
      <w:smallCaps/>
      <w:sz w:val="22"/>
    </w:rPr>
  </w:style>
  <w:style w:type="paragraph" w:styleId="Heading9">
    <w:name w:val="heading 9"/>
    <w:basedOn w:val="Normal"/>
    <w:next w:val="Normal"/>
    <w:qFormat/>
    <w:pPr>
      <w:keepNext w:val="true"/>
      <w:numPr>
        <w:ilvl w:val="8"/>
        <w:numId w:val="1"/>
      </w:numPr>
      <w:jc w:val="center"/>
      <w:outlineLvl w:val="8"/>
    </w:pPr>
    <w:rPr>
      <w:b/>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jc w:val="both"/>
    </w:pPr>
    <w:rPr>
      <w:i/>
      <w:sz w:val="18"/>
    </w:rPr>
  </w:style>
  <w:style w:type="paragraph" w:styleId="List">
    <w:name w:val="List"/>
    <w:basedOn w:val="BodyText"/>
    <w:pPr/>
    <w:rPr>
      <w:rFonts w:cs="NotoSans NF"/>
    </w:rPr>
  </w:style>
  <w:style w:type="paragraph" w:styleId="Caption">
    <w:name w:val="caption"/>
    <w:basedOn w:val="Normal"/>
    <w:next w:val="Normal"/>
    <w:qFormat/>
    <w:pPr>
      <w:jc w:val="center"/>
    </w:pPr>
    <w:rPr>
      <w:b/>
      <w:smallCaps/>
      <w:sz w:val="22"/>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stBullet">
    <w:name w:val="List Bullet"/>
    <w:basedOn w:val="Normal"/>
    <w:qFormat/>
    <w:pPr>
      <w:numPr>
        <w:ilvl w:val="0"/>
        <w:numId w:val="2"/>
      </w:numPr>
      <w:ind w:hanging="360" w:start="360" w:end="0"/>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tabs>
        <w:tab w:val="clear" w:pos="720"/>
        <w:tab w:val="left" w:pos="360" w:leader="none"/>
      </w:tabs>
      <w:jc w:val="both"/>
    </w:pPr>
    <w:rPr>
      <w:sz w:val="22"/>
    </w:rPr>
  </w:style>
  <w:style w:type="paragraph" w:styleId="BodyText3">
    <w:name w:val="Body Text 3"/>
    <w:basedOn w:val="Normal"/>
    <w:qFormat/>
    <w:pPr>
      <w:tabs>
        <w:tab w:val="clear" w:pos="720"/>
        <w:tab w:val="left" w:pos="-90" w:leader="none"/>
      </w:tabs>
      <w:jc w:val="center"/>
    </w:pPr>
    <w:rPr>
      <w:sz w:val="22"/>
    </w:rPr>
  </w:style>
  <w:style w:type="paragraph" w:styleId="BodyTextIndent">
    <w:name w:val="Body Text Indent"/>
    <w:basedOn w:val="Normal"/>
    <w:pPr>
      <w:tabs>
        <w:tab w:val="clear" w:pos="720"/>
        <w:tab w:val="left" w:pos="360" w:leader="none"/>
      </w:tabs>
      <w:ind w:hanging="2160" w:start="2160" w:end="0"/>
      <w:jc w:val="both"/>
    </w:pPr>
    <w:rPr>
      <w:sz w:val="22"/>
    </w:rPr>
  </w:style>
  <w:style w:type="paragraph" w:styleId="FrameContents">
    <w:name w:val="Frame Contents"/>
    <w:basedOn w:val="Normal"/>
    <w:qFormat/>
    <w:pPr/>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_rels/foot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2000-05-11T19:10:00Z</dcterms:created>
  <dc:creator>ECT</dc:creator>
  <dc:description/>
  <dc:language>en-CA</dc:language>
  <cp:lastModifiedBy>Phil DeMoes</cp:lastModifiedBy>
  <cp:lastPrinted>2000-05-11T16:30:00Z</cp:lastPrinted>
  <dcterms:modified xsi:type="dcterms:W3CDTF">2000-05-12T16:21:00Z</dcterms:modified>
  <cp:revision>3</cp:revision>
  <dc:subject/>
  <dc:title>SUMMARY OF TERMS FOR PROPOSED TRANSACTION BETWEEN</dc:title>
</cp:coreProperties>
</file>