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MODIFICATION TO MASTER POWER PURCHASE</w:t>
        <w:br/>
        <w:t>&amp; SALE AGREEMENT</w:t>
      </w:r>
    </w:p>
    <w:p>
      <w:pPr>
        <w:pStyle w:val="BodyTextIndent"/>
        <w:rPr>
          <w:u w:val="single"/>
        </w:rPr>
      </w:pPr>
      <w:r>
        <w:rPr>
          <w:u w:val="single"/>
        </w:rPr>
      </w:r>
    </w:p>
    <w:p>
      <w:pPr>
        <w:pStyle w:val="BodyTextIndent"/>
        <w:rPr/>
      </w:pPr>
      <w:r>
        <w:rPr/>
        <w:t>This Modification (“Modification”) of that certain Master Power Purchase &amp; Sale Agreement (“Master Agreement”) between Enron Power Marketing, Inc. (“EPMI”) and Southern California Edison Company (“SCE”) is made effective as of July 16, 2001.  All capitalized terms used herein and not defined herein shall have the meaning provided for such term in the Master Agreement.</w:t>
      </w:r>
    </w:p>
    <w:p>
      <w:pPr>
        <w:pStyle w:val="BodyTextIndent"/>
        <w:rPr/>
      </w:pPr>
      <w:r>
        <w:rPr/>
        <w:t>WHEREAS, EPMI and SCE entered into the Master Agreement effective November 14, 2000 and in connection with such Master Agreement the parties have entered into certain Transactions; and</w:t>
      </w:r>
    </w:p>
    <w:p>
      <w:pPr>
        <w:pStyle w:val="BodyTextIndent"/>
        <w:rPr/>
      </w:pPr>
      <w:r>
        <w:rPr/>
        <w:t>WHEREAS, EPMI has requested SCE to provide Performance Assurance pursuant to Article 8 of the Master Agreement; and</w:t>
      </w:r>
    </w:p>
    <w:p>
      <w:pPr>
        <w:pStyle w:val="BodyTextIndent"/>
        <w:rPr/>
      </w:pPr>
      <w:r>
        <w:rPr/>
        <w:t>WHEREAS, SCE is willing to provide Performance Assurance in the amount requested by EPMI if certain modifications are made to the Master Agreement, and EPMI is willing to so modify the Master  Agreement,</w:t>
      </w:r>
    </w:p>
    <w:p>
      <w:pPr>
        <w:pStyle w:val="BodyTextIndent"/>
        <w:rPr/>
      </w:pPr>
      <w:r>
        <w:rPr/>
        <w:t>NOW, THEREFORE, in consideration of the mutual covenants and agreements contained herein and for other good and valuable consideration, the parties agree to modify the Master Agreement as follows:</w:t>
      </w:r>
    </w:p>
    <w:p>
      <w:pPr>
        <w:pStyle w:val="BodyTextIndent"/>
        <w:rPr/>
      </w:pPr>
      <w:r>
        <w:rPr/>
        <w:t>1.</w:t>
        <w:tab/>
      </w:r>
      <w:r>
        <w:rPr>
          <w:u w:val="single"/>
        </w:rPr>
        <w:t>Provision of Performance Assurance by SCE</w:t>
      </w:r>
      <w:r>
        <w:rPr/>
        <w:t xml:space="preserve">.  SCE agrees that it will provide Performance Assurance to EPMI in the amount of $24,000,000 (the amount of the Performance Assurance that SCE is required to provide to EPMI under Section 8.1(c) of the Master Agreement as of July 16, 2001 plus an Independent Amount of $4,000,000), such Performance Assurance to be in the form of either, or a combination of,  (a) cash to be transferred by SCE by electronic funds transfer to an account designated by EPMI, such electronic funds transfer to be completed by 5:00 p.m. (CST) July 17, 2001 or (b) the delivery of a Letter of Credit in a form acceptable to EPMI issued by an issuer that complies with the requirements set forth in the definition of Letter of Credit in the Master Agreement (the “Issuer Requirements”), such delivery to be made to EPMI on or before 5:00 p.m. (CST) July 17, 2001.  The Performance Assurance shall be held pursuant to the provisions of the Master Agreement to be applied by EPMI to obligations of SCE as provided in the Master Agreement.  The amount of Performance Assurance to be provided or maintained by SCE may be changed from time to time in accordance with section 8.1(c) of the Master Agreement.  Each of SCE and EPMI hereby agree that (x) any Performance Assurance posted by either Party under the Master Agreement shall be applied to satisfy obligations of the Party posting such Performance Assurance (the “Pledgor”) under the Master Agreement (the “Master Agreement Obligations”) only, it being understood that such Performance Assurance cannot be used by either Party to satisfy obligations of the Pledgor other than Master Agreement Obligations; (y) any Performance Assurance posted by a Defaulting Party shall not be reduced or returned to the Defaulting Party so long as any Event of Default with respect to the Defaulting Party shall have occurred and be continuing or an Early Termination Date shall have occurred or been designated as a result of an Event of Default with respect to the Defaulting Party; and (z) under no circumstances can a Party that is holding Performance Assurance (“Secured Party”) exercise the rights and remedies provided for in the Master Agreement with respect to such Performance Assurance if an Event of Default has occurred and is continuing with respect to the Secured Party unless (i) the Party posting the Performance Assurance (“Posting Party”) has failed to pay amounts due under the Master Agreement (“Unpaid Amounts”), (ii) the amount of, and timing for payment of, the Unpaid Amounts has not been contested by the Posting Party, and (iii) such non-payment by the Posting Party constitutes an Event of Default with respect to the Posting Party under the Master Agreement. </w:t>
      </w:r>
    </w:p>
    <w:p>
      <w:pPr>
        <w:pStyle w:val="Normal"/>
        <w:spacing w:before="240" w:after="240"/>
        <w:jc w:val="both"/>
        <w:rPr/>
      </w:pPr>
      <w:r>
        <w:rPr/>
        <w:t>2.</w:t>
        <w:tab/>
      </w:r>
      <w:r>
        <w:rPr>
          <w:u w:val="single"/>
        </w:rPr>
        <w:t>Amendment to Article 8 of Master Agreement</w:t>
      </w:r>
      <w:r>
        <w:rPr/>
        <w:t>.</w:t>
        <w:tab/>
        <w:t>SCE and EPMI agree that Article 8 of the Master Agreement shall be amended in the following manner: (a) Party B Collateral Threshold shall be zero (0); (b) Party B Independent Amount shall be $4,000,000, and such Independent Amount shall reduce on December 31st of each year, beginning on December 31, 2001, by $800,000; provided that, notwithstanding such Party B Independent Amount, SCE shall not be required to post or maintain Performance Assurance to or with EPMI during any period of time that a Termination Payment would be owed by EPMI to SCE (notwithstanding whether an Event of Default has occurred) in an amount that exceeds the Party B Independent Amount that otherwise would be applicable; and (c) Sections 8.1 (c) and 8.2 (c) of the Master Agreement are amended to provide that (x) any Letter of Credit that is provided as Performance Assurance shall have a value of zero (0) if twenty (20) or fewer Business Days remain until the expiration of such Letter of Credit and such event shall be deemed, without further notice, an Event of Default under the Master Agreement unless the Party posting the Performance Assurance has otherwise provided substitute Performance Assurance; (y) in the event that the issuer of any Letter of Credit fails to satisfy any of the Issuer Requirements, then the Party that posted such Letter of Credit shall be obligated to replace such Letter of Credit and deliver to the other Party (the “Pledgee”) acceptable Performance Assurance within three (3) Business Days of the date of such failure; and (z) to the extent that cash is posted by the Pledgor to the Pledgee, then the following provisions shall apply:</w:t>
      </w:r>
    </w:p>
    <w:p>
      <w:pPr>
        <w:pStyle w:val="Normal"/>
        <w:spacing w:before="240" w:after="240"/>
        <w:jc w:val="both"/>
        <w:rPr/>
      </w:pPr>
      <w:r>
        <w:rPr/>
        <w:t xml:space="preserve">  </w:t>
      </w:r>
      <w:r>
        <w:rPr/>
        <w:t>So long as no Event of Default or Potential Event of Default with respect to the Pledgor has occurred and is continuing, and no Early Termination Date for which any unsatisfied payment obligations of the Pledgor exists has occurred or been designated as the result of an Event of Default with respect to the Pledgor and to the extent that an obligation to deliver Performance Assurance would not be created or increased by the transfer, the Pledgee will transfer to the Pledgor, in lieu of any interest or other amounts paid or deemed to have been paid with respect to the cash (all of which may be retained by the Pledgee), the Interest Amount (as defined below) on the last Business Day of each calendar month.  On or after the occurrence of a Potential Event of Default or an Event of Default with respect to the Pledgor or an Early Termination Date as a result of an Event of Default with respect to the Pledgor, the Pledgee shall retain any such Interest Amount as additional Performance Assurance under the Master Agreement until the obligations of the Pledgor under the Master Agreement have been satisfied in the case of an Early Termination Date or for so long as such Event of Default is continuing in the case of an Event of Default or Potential Event of Default.</w:t>
      </w:r>
    </w:p>
    <w:p>
      <w:pPr>
        <w:pStyle w:val="Normal"/>
        <w:spacing w:before="240" w:after="240"/>
        <w:ind w:firstLine="900" w:end="0"/>
        <w:jc w:val="both"/>
        <w:rPr/>
      </w:pPr>
      <w:r>
        <w:rPr/>
        <w:t xml:space="preserve">The term "Interest Amount" shall mean with respect to an "Interest Period" (as defined herein), the aggregate sum of the amounts of interest calculated for each day in that Interest Period on the principal amount of cash held by the Pledgee on that day, determined by the Pledgee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Pledgee) to (but excluding) the Business Day on which the current Interest Amount is to be transferred.  </w:t>
      </w:r>
      <w:r>
        <w:rPr>
          <w:bCs/>
        </w:rPr>
        <w:t>"Interest Rate" shall be the Federal Funds Effective Rate as from time to time in effect.  "Federal Funds Effective Rate" means the rate for that day opposite the caption "Federal Funds (Effective)" as set forth in the weekly statistical release designated as H.15(519), or any successor publication, published by the Board of Governors of the Federal Reserve System</w:t>
      </w:r>
      <w:r>
        <w:rPr/>
        <w:t xml:space="preserve">.  </w:t>
      </w:r>
    </w:p>
    <w:p>
      <w:pPr>
        <w:pStyle w:val="BodyTextIndent"/>
        <w:rPr/>
      </w:pPr>
      <w:r>
        <w:rPr/>
        <w:t>3.</w:t>
        <w:tab/>
      </w:r>
      <w:r>
        <w:rPr>
          <w:u w:val="single"/>
        </w:rPr>
        <w:t>Waiver of Cross-Default Provisions</w:t>
      </w:r>
      <w:r>
        <w:rPr/>
        <w:t xml:space="preserve">.  Effective upon receipt of the Performance Assurance provided in Section 1 above, EPMI and SCE agree that, notwithstanding anything to the contrary in the Master Agreement, the provisions of Section 5.1(g) shall no longer constitute an Event of Default with respect to the other party so long as the other party continues to provide Performance Assurance as required in accordance with the Master Agreement.  </w:t>
      </w:r>
    </w:p>
    <w:p>
      <w:pPr>
        <w:pStyle w:val="BodyTextIndent"/>
        <w:rPr/>
      </w:pPr>
      <w:r>
        <w:rPr/>
        <w:t>4.</w:t>
        <w:tab/>
      </w:r>
      <w:r>
        <w:rPr>
          <w:u w:val="single"/>
        </w:rPr>
        <w:t>Occurrence of SCE Bankruptcy</w:t>
      </w:r>
      <w:r>
        <w:rPr/>
        <w:t>.  Effective upon receipt of the Performance Assurance provided in Section 1 above and continuing for so long as (1) without Bankruptcy Court (as defined below) approval, EPMI can request that SCE provide Performance Assurance to it when it is required to do so under the Master Agreement, (2) without Bankruptcy Court approval, SCE continues to provide Performance Assurance to EPMI as required in accordance with the Master Agreement, and provides EPMI with either (i) reasonable assurance that no Bankruptcy Court approval is required for such performance, or (ii) provides an opinion of counsel to that effect, and (3) without Bankruptcy Court approval, EPMI is able to terminate the Master Agreement and exercise its rights and remedies with respect to all Performance Assurance provided to it by SCE in the event that SCE fails to provide Performance Assurance to EPMI when it is required to do so under the Master Agreement, EPMI agrees that it will only assert that SCE has become Bankrupt and that an Event of Default has occurred under Section 5.1(d) of the Master Agreement if (a) an order for relief under the United States Bankruptcy Code (the “Bankruptcy Code”) is entered against SCE (whether pursuant to a voluntary or involuntary petition) (the “Bankruptcy Case”) and (b) either SCE fails to file within five (5) Business Days from the entry of the order for relief by the Bankruptcy Court having jurisdiction of the Bankruptcy Case (the “Bankruptcy Court”) a request for, or SCE fails to obtain within ninety (90) days from the entry of such order for relief an order of the Bankruptcy Court (the “Assumption Order”) reasonably satisfactory to EPMI containing or providing in all material respects for, the following:</w:t>
      </w:r>
    </w:p>
    <w:p>
      <w:pPr>
        <w:pStyle w:val="BodyTextIndent"/>
        <w:numPr>
          <w:ilvl w:val="1"/>
          <w:numId w:val="4"/>
        </w:numPr>
        <w:ind w:hanging="576" w:start="2340" w:end="0"/>
        <w:rPr/>
      </w:pPr>
      <w:r>
        <w:rPr/>
        <w:t>The assumption of the Master Agreement, as amended by this Modification, and all Transactions outstanding thereunder by SCE pursuant to Section 365 of the Bankruptcy Code, and providing for the curing of all defaults under the Master Agreement by SCE;</w:t>
      </w:r>
    </w:p>
    <w:p>
      <w:pPr>
        <w:pStyle w:val="BodyTextIndent"/>
        <w:numPr>
          <w:ilvl w:val="1"/>
          <w:numId w:val="4"/>
        </w:numPr>
        <w:ind w:hanging="576" w:start="2340" w:end="0"/>
        <w:rPr/>
      </w:pPr>
      <w:r>
        <w:rPr/>
        <w:t>That as to any Performance Assurance which may be subsequently requested by EPMI of SCE under the Master Agreement, SCE may provide such Performance Assurance as provided in the Master Agreement, whether in the form of cash, a Letter of Credit or a lien on assets of SCE (if such form of Performance Assurance is acceptable to EPMI as provided in the Master Agreement) without the requirement of the subsequent approval by the Bankruptcy Court of the provision of such Performance Assurance; and</w:t>
      </w:r>
    </w:p>
    <w:p>
      <w:pPr>
        <w:pStyle w:val="BodyTextIndent"/>
        <w:numPr>
          <w:ilvl w:val="1"/>
          <w:numId w:val="4"/>
        </w:numPr>
        <w:ind w:hanging="576" w:start="2340" w:end="0"/>
        <w:rPr/>
      </w:pPr>
      <w:r>
        <w:rPr/>
        <w:t>The following additional findings:</w:t>
      </w:r>
    </w:p>
    <w:p>
      <w:pPr>
        <w:pStyle w:val="BodyTextIndent"/>
        <w:numPr>
          <w:ilvl w:val="3"/>
          <w:numId w:val="4"/>
        </w:numPr>
        <w:rPr/>
      </w:pPr>
      <w:r>
        <w:rPr/>
        <w:t>The Master Agreement and all Transactions are “forward contracts” as defined under Section 101(25) of the Bankruptcy Code;</w:t>
      </w:r>
    </w:p>
    <w:p>
      <w:pPr>
        <w:pStyle w:val="BodyTextIndent"/>
        <w:numPr>
          <w:ilvl w:val="3"/>
          <w:numId w:val="4"/>
        </w:numPr>
        <w:rPr/>
      </w:pPr>
      <w:r>
        <w:rPr/>
        <w:t>EPMI is a “forward contract merchant” as defined under Section 101(26) of the Bankruptcy Code; and</w:t>
      </w:r>
    </w:p>
    <w:p>
      <w:pPr>
        <w:pStyle w:val="BodyTextIndent"/>
        <w:numPr>
          <w:ilvl w:val="3"/>
          <w:numId w:val="4"/>
        </w:numPr>
        <w:rPr/>
      </w:pPr>
      <w:r>
        <w:rPr/>
        <w:t>Sections 556, 362(b)(6), 546(e) and 548(d)(2)(B) and all other sections of the Bankruptcy Code governing the rights of parties to forward contracts are applicable to the Master Agreement and all Transactions thereunder such that EPMI shall be entitled to immediately exercise any remedies authorized by the Master Agreement upon the occurrence of an uncured Event of Default and immediately liquidate any collateral (including Performance Assurance) provided by SCE to EPMI to secure SCE’s obligations to EPMI upon termination of the Master Agreement without the need by EPMI to seek further relief from the Bankruptcy Court.</w:t>
      </w:r>
    </w:p>
    <w:p>
      <w:pPr>
        <w:pStyle w:val="Normal"/>
        <w:jc w:val="both"/>
        <w:rPr/>
      </w:pPr>
      <w:r>
        <w:rPr/>
        <w:tab/>
        <w:t>5.</w:t>
        <w:tab/>
      </w:r>
      <w:r>
        <w:rPr>
          <w:u w:val="single"/>
        </w:rPr>
        <w:t>Additional Events of Default</w:t>
      </w:r>
      <w:r>
        <w:rPr/>
        <w:t>.  In the event there occurs a Bankruptcy Case of SCE, the following events shall constitute additional Events of Default pursuant to Section 5.1 of the Master Agreement with respect to SCE only:</w:t>
      </w:r>
    </w:p>
    <w:p>
      <w:pPr>
        <w:pStyle w:val="Normal"/>
        <w:numPr>
          <w:ilvl w:val="0"/>
          <w:numId w:val="2"/>
        </w:numPr>
        <w:jc w:val="both"/>
        <w:rPr/>
      </w:pPr>
      <w:r>
        <w:rPr/>
        <w:t>The Bankruptcy Court shall have entered an order converting the Bankruptcy Case to a case under chapter 7 of the Bankruptcy Code;</w:t>
      </w:r>
    </w:p>
    <w:p>
      <w:pPr>
        <w:pStyle w:val="Normal"/>
        <w:numPr>
          <w:ilvl w:val="0"/>
          <w:numId w:val="2"/>
        </w:numPr>
        <w:jc w:val="both"/>
        <w:rPr/>
      </w:pPr>
      <w:r>
        <w:rPr/>
        <w:t>The Bankruptcy Court shall have entered an order pursuant to section 1104 of the Bankruptcy Code for the appointment of a trustee;</w:t>
      </w:r>
    </w:p>
    <w:p>
      <w:pPr>
        <w:pStyle w:val="Normal"/>
        <w:numPr>
          <w:ilvl w:val="0"/>
          <w:numId w:val="2"/>
        </w:numPr>
        <w:jc w:val="both"/>
        <w:rPr/>
      </w:pPr>
      <w:r>
        <w:rPr/>
        <w:t>The Bankruptcy Court shall have entered an order authorizing SCE to sell all or substantially all of its assets;</w:t>
      </w:r>
    </w:p>
    <w:p>
      <w:pPr>
        <w:pStyle w:val="Normal"/>
        <w:numPr>
          <w:ilvl w:val="0"/>
          <w:numId w:val="2"/>
        </w:numPr>
        <w:jc w:val="both"/>
        <w:rPr/>
      </w:pPr>
      <w:r>
        <w:rPr/>
        <w:t>The Bankruptcy Court shall have entered an order confirming a plan of reorganization that fails to provide for repayment in full and performance of all obligations due to EPMI, or which in any manner adversely alters or impairs EPMI’s rights or obligations, under this Agreement;</w:t>
      </w:r>
    </w:p>
    <w:p>
      <w:pPr>
        <w:pStyle w:val="Normal"/>
        <w:numPr>
          <w:ilvl w:val="0"/>
          <w:numId w:val="2"/>
        </w:numPr>
        <w:jc w:val="both"/>
        <w:rPr/>
      </w:pPr>
      <w:r>
        <w:rPr/>
        <w:t>The Bankruptcy Court shall have entered an order without the consent of EPMI adversely affecting or impairing in any way EPMI’s rights under this Agreement (including, without limitation, any order providing for rejection of this Agreement) or upholding any challenge to the enforceability or binding effect of this Agreement or the Assumption Order; and</w:t>
      </w:r>
    </w:p>
    <w:p>
      <w:pPr>
        <w:pStyle w:val="Normal"/>
        <w:numPr>
          <w:ilvl w:val="0"/>
          <w:numId w:val="2"/>
        </w:numPr>
        <w:jc w:val="both"/>
        <w:rPr/>
      </w:pPr>
      <w:r>
        <w:rPr/>
        <w:t>A motion shall be made for any of the orders described in subparagraphs (i) through (v) above by (a) SCE or (b) any other person or entity and SCE shall have consented thereto or shall have failed to contest such motion within 20 days following the date on which such motion is made (or any such shorter response period set by the Bankruptcy Court).</w:t>
      </w:r>
    </w:p>
    <w:p>
      <w:pPr>
        <w:pStyle w:val="Normal"/>
        <w:ind w:start="720" w:end="0"/>
        <w:jc w:val="both"/>
        <w:rPr/>
      </w:pPr>
      <w:r>
        <w:rPr/>
        <w:t>6.</w:t>
        <w:tab/>
      </w:r>
      <w:r>
        <w:rPr>
          <w:u w:val="single"/>
        </w:rPr>
        <w:t>Master Agreement is Forward Contract</w:t>
      </w:r>
      <w:r>
        <w:rPr/>
        <w:t>. SCE hereby acknowledges and agrees that:</w:t>
      </w:r>
    </w:p>
    <w:p>
      <w:pPr>
        <w:pStyle w:val="BodyTextIndent"/>
        <w:numPr>
          <w:ilvl w:val="1"/>
          <w:numId w:val="3"/>
        </w:numPr>
        <w:rPr/>
      </w:pPr>
      <w:r>
        <w:rPr/>
        <w:t>The Master Agreement and all Transactions are “forward contracts” as defined under Section 101(25) of the Bankruptcy Code; and</w:t>
      </w:r>
    </w:p>
    <w:p>
      <w:pPr>
        <w:pStyle w:val="BodyTextIndent"/>
        <w:numPr>
          <w:ilvl w:val="1"/>
          <w:numId w:val="3"/>
        </w:numPr>
        <w:rPr/>
      </w:pPr>
      <w:r>
        <w:rPr/>
        <w:t>EPMI is a “forward contract merchant” as defined under Section 101(26) of the Bankruptcy Code.</w:t>
      </w:r>
    </w:p>
    <w:p>
      <w:pPr>
        <w:pStyle w:val="Normal"/>
        <w:jc w:val="both"/>
        <w:rPr/>
      </w:pPr>
      <w:r>
        <w:rPr/>
        <w:t>7.</w:t>
        <w:tab/>
      </w:r>
      <w:r>
        <w:rPr>
          <w:u w:val="single"/>
        </w:rPr>
        <w:t>Termination of Modification</w:t>
      </w:r>
      <w:r>
        <w:rPr/>
        <w:t xml:space="preserve">.  Except as provided below, this Modification shall terminate and be of no further force and effect as of the earliest date on which (a) no Event of Default with respect to SCE has occurred and is continuing, including any event that would be an Event of Default under Sections 5.1(d) and 5.1 (g) of the Master Agreement but for this Modification and (b) there is no longer any Downgrade Event as to SCE; </w:t>
      </w:r>
      <w:r>
        <w:rPr>
          <w:u w:val="single"/>
        </w:rPr>
        <w:t>provided, however</w:t>
      </w:r>
      <w:r>
        <w:rPr/>
        <w:t>, that the provisions of Sections 2(c) and 6 of this Modification and the terms of the Assumption Order shall survive any such termination.</w:t>
      </w:r>
    </w:p>
    <w:p>
      <w:pPr>
        <w:pStyle w:val="Normal"/>
        <w:jc w:val="both"/>
        <w:rPr/>
      </w:pPr>
      <w:r>
        <w:rPr/>
        <w:t>8.</w:t>
        <w:tab/>
      </w:r>
      <w:r>
        <w:rPr>
          <w:u w:val="single"/>
        </w:rPr>
        <w:t>Representation</w:t>
      </w:r>
      <w:r>
        <w:rPr/>
        <w:t>.  Each of the parties hereto hereby represents and warrants to the other party hereto that the execution, delivery and performance hereof by it are within its corporate powers and have been duly authorized by all necessary corporate or other action and that this Modification constitutes its legal, valid and binding obligation.</w:t>
      </w:r>
    </w:p>
    <w:p>
      <w:pPr>
        <w:pStyle w:val="Normal"/>
        <w:jc w:val="both"/>
        <w:rPr/>
      </w:pPr>
      <w:r>
        <w:rPr/>
        <w:t>9.</w:t>
        <w:tab/>
      </w:r>
      <w:r>
        <w:rPr>
          <w:u w:val="single"/>
        </w:rPr>
        <w:t>Governing Law</w:t>
      </w:r>
      <w:r>
        <w:rPr/>
        <w:t>.  This Modification shall be governed by and construed in accordance with the laws of the State of New York.</w:t>
      </w:r>
    </w:p>
    <w:p>
      <w:pPr>
        <w:pStyle w:val="Normal"/>
        <w:jc w:val="both"/>
        <w:rPr/>
      </w:pPr>
      <w:r>
        <w:rPr/>
        <w:t>10.</w:t>
        <w:tab/>
      </w:r>
      <w:r>
        <w:rPr>
          <w:u w:val="single"/>
        </w:rPr>
        <w:t>Counterparts</w:t>
      </w:r>
      <w:r>
        <w:rPr/>
        <w:t>.  This Modification may be executed in any number of counterparts, each of which shall be deemed an original instrument and all of which when taken together shall constitute one and the same agreement.  Any and all references to the Master Agreement shall hereafter refer to the Master Agreement as amended by this Modification and as the same may be amended, supplemented or modified from time to time.  The provisions of this Modification shall apply to any and all outstanding Transactions under the Master Agreement.  Unless otherwise defined herein, capitalized terms not defined herein shall have the same meanings assigned to such terms in the Master Agreement.  Except as amended hereby, all other provisions of the Master Agreement shall remain the same and in full force and effect.</w:t>
      </w:r>
    </w:p>
    <w:p>
      <w:pPr>
        <w:pStyle w:val="BodyTextIndent"/>
        <w:keepNext w:val="true"/>
        <w:spacing w:lineRule="exact" w:line="240"/>
        <w:rPr/>
      </w:pPr>
      <w:r>
        <w:rPr/>
        <w:t>IN WITNESS WHEREOF, the parties hereto have executed this Modification effective as of the date first written above.</w:t>
      </w:r>
    </w:p>
    <w:p>
      <w:pPr>
        <w:pStyle w:val="BodyTextIndent"/>
        <w:keepNext w:val="true"/>
        <w:spacing w:lineRule="exact" w:line="240"/>
        <w:rPr/>
      </w:pPr>
      <w:r>
        <w:rPr/>
      </w:r>
    </w:p>
    <w:p>
      <w:pPr>
        <w:pStyle w:val="BodyTextIndent"/>
        <w:keepNext w:val="true"/>
        <w:spacing w:lineRule="exact" w:line="240" w:before="0" w:after="0"/>
        <w:ind w:hanging="0" w:end="0"/>
        <w:rPr/>
      </w:pPr>
      <w:r>
        <w:rPr/>
        <w:t>ENRON POWER MARKETING, INC.</w:t>
        <w:tab/>
        <w:tab/>
        <w:t>SOUTHERN CALIFORNIA EDISON</w:t>
      </w:r>
    </w:p>
    <w:p>
      <w:pPr>
        <w:pStyle w:val="BodyTextIndent"/>
        <w:keepNext w:val="true"/>
        <w:spacing w:lineRule="exact" w:line="240" w:before="0" w:after="0"/>
        <w:ind w:hanging="0" w:end="0"/>
        <w:rPr/>
      </w:pPr>
      <w:r>
        <w:rPr/>
        <w:tab/>
        <w:tab/>
        <w:tab/>
        <w:tab/>
        <w:tab/>
        <w:tab/>
        <w:tab/>
        <w:t>COMPANY</w:t>
      </w:r>
    </w:p>
    <w:p>
      <w:pPr>
        <w:pStyle w:val="BodyTextIndent"/>
        <w:keepNext w:val="true"/>
        <w:spacing w:lineRule="exact" w:line="240" w:before="0" w:after="0"/>
        <w:ind w:hanging="0" w:end="0"/>
        <w:rPr/>
      </w:pPr>
      <w:r>
        <w:rPr/>
      </w:r>
    </w:p>
    <w:p>
      <w:pPr>
        <w:pStyle w:val="BodyTextIndent"/>
        <w:keepNext w:val="true"/>
        <w:spacing w:lineRule="exact" w:line="240" w:before="0" w:after="0"/>
        <w:ind w:hanging="0" w:end="0"/>
        <w:rPr/>
      </w:pPr>
      <w:r>
        <w:rPr/>
      </w:r>
    </w:p>
    <w:p>
      <w:pPr>
        <w:pStyle w:val="BodyTextIndent"/>
        <w:keepNext w:val="true"/>
        <w:spacing w:lineRule="exact" w:line="240" w:before="0" w:after="0"/>
        <w:ind w:hanging="0" w:end="0"/>
        <w:rPr/>
      </w:pPr>
      <w:r>
        <w:rPr/>
        <w:t>By:</w:t>
      </w:r>
      <w:r>
        <w:rPr>
          <w:u w:val="single"/>
        </w:rPr>
        <w:tab/>
        <w:tab/>
        <w:tab/>
        <w:tab/>
        <w:tab/>
        <w:tab/>
      </w:r>
      <w:r>
        <w:rPr/>
        <w:tab/>
        <w:t>By:</w:t>
      </w:r>
      <w:r>
        <w:rPr>
          <w:u w:val="single"/>
        </w:rPr>
        <w:tab/>
        <w:tab/>
        <w:tab/>
        <w:tab/>
        <w:tab/>
        <w:tab/>
      </w:r>
    </w:p>
    <w:p>
      <w:pPr>
        <w:pStyle w:val="BodyTextIndent"/>
        <w:keepNext w:val="true"/>
        <w:spacing w:lineRule="exact" w:line="240" w:before="0" w:after="0"/>
        <w:ind w:hanging="0" w:end="0"/>
        <w:rPr/>
      </w:pPr>
      <w:r>
        <w:rPr/>
      </w:r>
    </w:p>
    <w:p>
      <w:pPr>
        <w:pStyle w:val="BodyTextIndent"/>
        <w:keepNext w:val="true"/>
        <w:spacing w:lineRule="exact" w:line="240" w:before="0" w:after="0"/>
        <w:ind w:hanging="0" w:end="0"/>
        <w:rPr/>
      </w:pPr>
      <w:r>
        <w:rPr/>
        <w:t>Name:</w:t>
      </w:r>
      <w:r>
        <w:rPr>
          <w:u w:val="single"/>
        </w:rPr>
        <w:tab/>
        <w:tab/>
        <w:tab/>
        <w:tab/>
        <w:tab/>
        <w:tab/>
      </w:r>
      <w:r>
        <w:rPr/>
        <w:tab/>
        <w:t>Name:</w:t>
      </w:r>
      <w:r>
        <w:rPr>
          <w:u w:val="single"/>
        </w:rPr>
        <w:tab/>
        <w:tab/>
        <w:tab/>
        <w:tab/>
        <w:tab/>
        <w:tab/>
      </w:r>
    </w:p>
    <w:p>
      <w:pPr>
        <w:pStyle w:val="BodyTextIndent"/>
        <w:keepNext w:val="true"/>
        <w:spacing w:lineRule="exact" w:line="240" w:before="0" w:after="0"/>
        <w:ind w:hanging="0" w:end="0"/>
        <w:rPr/>
      </w:pPr>
      <w:r>
        <w:rPr/>
      </w:r>
    </w:p>
    <w:p>
      <w:pPr>
        <w:pStyle w:val="BodyTextIndent"/>
        <w:keepNext w:val="true"/>
        <w:spacing w:lineRule="exact" w:line="240" w:before="0" w:after="0"/>
        <w:ind w:hanging="0" w:end="0"/>
        <w:rPr/>
      </w:pPr>
      <w:r>
        <w:rPr/>
        <w:t>Title:</w:t>
      </w:r>
      <w:r>
        <w:rPr>
          <w:u w:val="single"/>
        </w:rPr>
        <w:tab/>
        <w:tab/>
        <w:tab/>
        <w:tab/>
        <w:tab/>
        <w:tab/>
      </w:r>
      <w:r>
        <w:rPr/>
        <w:tab/>
        <w:t>Title:</w:t>
      </w:r>
      <w:r>
        <w:rPr>
          <w:u w:val="single"/>
        </w:rPr>
        <w:tab/>
        <w:tab/>
        <w:tab/>
        <w:tab/>
        <w:tab/>
        <w:tab/>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ind w:hanging="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0" w:after="240"/>
      <w:ind w:hanging="0" w:end="0"/>
      <w:rPr/>
    </w:pPr>
    <w:r>
      <w:rPr/>
      <w:t>O:\legal\lemellen\SCE\Modification to Master Power Purchase &amp; Sale Agreement v3.doc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bCs/>
      </w:rPr>
    </w:pPr>
    <w:r>
      <w:rPr>
        <w:b/>
        <w:bCs/>
      </w:rPr>
      <w:t>DRAFT FOR DISCUSSION</w:t>
    </w:r>
  </w:p>
  <w:p>
    <w:pPr>
      <w:pStyle w:val="Header"/>
      <w:spacing w:before="0" w:after="0"/>
      <w:jc w:val="end"/>
      <w:rPr>
        <w:b/>
        <w:bCs/>
      </w:rPr>
    </w:pPr>
    <w:r>
      <w:rPr>
        <w:b/>
        <w:bCs/>
      </w:rPr>
      <w:t>PURPOSES ONLY</w:t>
    </w:r>
  </w:p>
  <w:p>
    <w:pPr>
      <w:pStyle w:val="Header"/>
      <w:spacing w:before="0" w:after="0"/>
      <w:jc w:val="end"/>
      <w:rPr>
        <w:b/>
        <w:bCs/>
      </w:rPr>
    </w:pPr>
    <w:r>
      <w:rPr>
        <w:b/>
        <w:bCs/>
      </w:rPr>
    </w:r>
  </w:p>
  <w:p>
    <w:pPr>
      <w:pStyle w:val="Header"/>
      <w:spacing w:before="0" w:after="0"/>
      <w:jc w:val="end"/>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736"/>
        </w:tabs>
        <w:ind w:start="2736" w:hanging="720"/>
      </w:pPr>
      <w:rPr/>
    </w:lvl>
  </w:abstractNum>
  <w:abstractNum w:abstractNumId="3">
    <w:lvl w:ilvl="0">
      <w:start w:val="1"/>
      <w:numFmt w:val="lowerRoman"/>
      <w:lvlText w:val="(%1)"/>
      <w:lvlJc w:val="start"/>
      <w:pPr>
        <w:tabs>
          <w:tab w:val="num" w:pos="3456"/>
        </w:tabs>
        <w:ind w:start="3456" w:hanging="720"/>
      </w:pPr>
      <w:rPr/>
    </w:lvl>
    <w:lvl w:ilvl="1">
      <w:start w:val="1"/>
      <w:numFmt w:val="lowerRoman"/>
      <w:lvlText w:val="(%2)"/>
      <w:lvlJc w:val="start"/>
      <w:pPr>
        <w:tabs>
          <w:tab w:val="num" w:pos="2736"/>
        </w:tabs>
        <w:ind w:start="2736" w:hanging="720"/>
      </w:pPr>
      <w:rPr>
        <w:i w:val="false"/>
        <w:b w:val="false"/>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lowerRoman"/>
      <w:lvlText w:val="(%1)"/>
      <w:lvlJc w:val="start"/>
      <w:pPr>
        <w:tabs>
          <w:tab w:val="num" w:pos="2160"/>
        </w:tabs>
        <w:ind w:start="2160" w:hanging="720"/>
      </w:pPr>
      <w:rPr>
        <w:i w:val="false"/>
        <w:b w:val="false"/>
      </w:rPr>
    </w:lvl>
    <w:lvl w:ilvl="1">
      <w:start w:val="1"/>
      <w:numFmt w:val="lowerRoman"/>
      <w:lvlText w:val="(%2)"/>
      <w:lvlJc w:val="start"/>
      <w:pPr>
        <w:tabs>
          <w:tab w:val="num" w:pos="2304"/>
        </w:tabs>
        <w:ind w:start="2160" w:hanging="576"/>
      </w:pPr>
      <w:rPr>
        <w:i w:val="false"/>
        <w:b w:val="false"/>
      </w:rPr>
    </w:lvl>
    <w:lvl w:ilvl="2">
      <w:start w:val="1"/>
      <w:numFmt w:val="lowerRoman"/>
      <w:lvlText w:val="(x%3)"/>
      <w:lvlJc w:val="start"/>
      <w:pPr>
        <w:tabs>
          <w:tab w:val="num" w:pos="3528"/>
        </w:tabs>
        <w:ind w:start="2700" w:hanging="252"/>
      </w:pPr>
      <w:rPr/>
    </w:lvl>
    <w:lvl w:ilvl="3">
      <w:start w:val="24"/>
      <w:numFmt w:val="lowerLetter"/>
      <w:lvlText w:val="(%4)"/>
      <w:lvlJc w:val="start"/>
      <w:pPr>
        <w:tabs>
          <w:tab w:val="num" w:pos="288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b w:val="false"/>
      <w:i w:val="false"/>
    </w:rPr>
  </w:style>
  <w:style w:type="character" w:styleId="WW8Num2z0">
    <w:name w:val="WW8Num2z0"/>
    <w:qFormat/>
    <w:rPr/>
  </w:style>
  <w:style w:type="character" w:styleId="WW8Num3z0">
    <w:name w:val="WW8Num3z0"/>
    <w:qFormat/>
    <w:rPr/>
  </w:style>
  <w:style w:type="character" w:styleId="WW8Num3z2">
    <w:name w:val="WW8Num3z2"/>
    <w:qFormat/>
    <w:rPr>
      <w:b w:val="false"/>
      <w:i w:val="false"/>
    </w:rPr>
  </w:style>
  <w:style w:type="character" w:styleId="WW8Num7z0">
    <w:name w:val="WW8Num7z0"/>
    <w:qFormat/>
    <w:rPr/>
  </w:style>
  <w:style w:type="character" w:styleId="WW8Num8z0">
    <w:name w:val="WW8Num8z0"/>
    <w:qFormat/>
    <w:rPr/>
  </w:style>
  <w:style w:type="character" w:styleId="WW8Num8z1">
    <w:name w:val="WW8Num8z1"/>
    <w:qFormat/>
    <w:rPr>
      <w:b w:val="false"/>
      <w:i w:val="false"/>
    </w:rPr>
  </w:style>
  <w:style w:type="character" w:styleId="WW8Num9z0">
    <w:name w:val="WW8Num9z0"/>
    <w:qFormat/>
    <w:rPr>
      <w:b w:val="false"/>
      <w:i w:val="false"/>
    </w:rPr>
  </w:style>
  <w:style w:type="character" w:styleId="WW8Num9z2">
    <w:name w:val="WW8Num9z2"/>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ind w:hanging="0" w:start="0" w:end="0"/>
      <w:jc w:val="center"/>
      <w:outlineLvl w:val="0"/>
    </w:pPr>
    <w:rPr>
      <w:b/>
      <w:kern w:val="2"/>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firstLine="720" w:start="4320" w:end="0"/>
    </w:pPr>
    <w:rPr/>
  </w:style>
  <w:style w:type="paragraph" w:styleId="name">
    <w:name w:val="name"/>
    <w:basedOn w:val="Normal"/>
    <w:qFormat/>
    <w:pPr>
      <w:ind w:firstLine="720" w:start="5040" w:end="0"/>
    </w:pPr>
    <w:rPr/>
  </w:style>
  <w:style w:type="paragraph" w:styleId="CompanyName">
    <w:name w:val="Company Name"/>
    <w:basedOn w:val="Normal"/>
    <w:qFormat/>
    <w:pPr>
      <w:spacing w:before="0" w:after="480"/>
      <w:ind w:firstLine="72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jc w:val="both"/>
    </w:pPr>
    <w:rPr/>
  </w:style>
  <w:style w:type="paragraph" w:styleId="Justified">
    <w:name w:val="Justified"/>
    <w:basedOn w:val="Normal"/>
    <w:next w:val="Heading2"/>
    <w:qFormat/>
    <w:pPr>
      <w:spacing w:before="0" w:after="120"/>
      <w:ind w:hanging="0" w:start="0" w:end="0"/>
      <w:jc w:val="both"/>
    </w:pPr>
    <w:rPr>
      <w:rFonts w:ascii="Tms Rmn" w:hAnsi="Tms Rmn" w:cs="Tms Rmn"/>
      <w:sz w:val="22"/>
    </w:rPr>
  </w:style>
  <w:style w:type="paragraph" w:styleId="BodyText3">
    <w:name w:val="Body Text 3"/>
    <w:basedOn w:val="Normal"/>
    <w:qFormat/>
    <w:pPr>
      <w:spacing w:before="0" w:after="0"/>
      <w:ind w:hanging="0" w:start="0" w:end="0"/>
      <w:jc w:val="both"/>
    </w:pPr>
    <w:rPr>
      <w:sz w:val="20"/>
    </w:rPr>
  </w:style>
  <w:style w:type="paragraph" w:styleId="BodyTextIndent2">
    <w:name w:val="Body Text Indent 2"/>
    <w:basedOn w:val="Normal"/>
    <w:qFormat/>
    <w:pPr>
      <w:keepNext w:val="true"/>
      <w:spacing w:lineRule="exact" w:line="24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2001-07-16T18:24:00Z</dcterms:created>
  <dc:creator>IS Department</dc:creator>
  <dc:description/>
  <cp:keywords>DN 171477.1 02618 00125 7/3/2001 2:00:17 PM</cp:keywords>
  <dc:language>en-CA</dc:language>
  <cp:lastModifiedBy>esager</cp:lastModifiedBy>
  <cp:lastPrinted>2001-07-16T15:11:00Z</cp:lastPrinted>
  <dcterms:modified xsi:type="dcterms:W3CDTF">2001-07-16T20:26:00Z</dcterms:modified>
  <cp:revision>3</cp:revision>
  <dc:subject/>
  <dc:title>MODIFICATION TO MASTER POWER PURCHASE</dc:title>
</cp:coreProperties>
</file>