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SUPPLEMENTAL MARGIN AGREEMENT</w:t>
      </w:r>
    </w:p>
    <w:p>
      <w:pPr>
        <w:pStyle w:val="Heading"/>
        <w:rPr/>
      </w:pPr>
      <w:r>
        <w:rPr/>
        <w:t>(CONTRACTED MARKETER AND CORE AGGREGATION TRANSPORTATION PROGRAMS)</w:t>
      </w:r>
    </w:p>
    <w:p>
      <w:pPr>
        <w:pStyle w:val="Heading"/>
        <w:rPr/>
      </w:pPr>
      <w:r>
        <w:rPr/>
      </w:r>
    </w:p>
    <w:p>
      <w:pPr>
        <w:pStyle w:val="Heading"/>
        <w:rPr/>
      </w:pPr>
      <w:r>
        <w:rPr/>
      </w:r>
    </w:p>
    <w:p>
      <w:pPr>
        <w:pStyle w:val="Subtitle"/>
        <w:numPr>
          <w:ilvl w:val="0"/>
          <w:numId w:val="0"/>
        </w:numPr>
        <w:outlineLvl w:val="0"/>
        <w:rPr/>
      </w:pPr>
      <w:r>
        <w:rPr/>
        <w:t>Marketer Account #18-2122-200-818-1 (Contractor 1)</w:t>
      </w:r>
    </w:p>
    <w:p>
      <w:pPr>
        <w:pStyle w:val="Subtitle"/>
        <w:numPr>
          <w:ilvl w:val="0"/>
          <w:numId w:val="0"/>
        </w:numPr>
        <w:outlineLvl w:val="0"/>
        <w:rPr/>
      </w:pPr>
      <w:r>
        <w:rPr/>
        <w:t>Marketer Account #18-2122-200-831-1 (Contractor 2)</w:t>
      </w:r>
    </w:p>
    <w:p>
      <w:pPr>
        <w:pStyle w:val="Subtitle"/>
        <w:numPr>
          <w:ilvl w:val="0"/>
          <w:numId w:val="0"/>
        </w:numPr>
        <w:outlineLvl w:val="0"/>
        <w:rPr/>
      </w:pPr>
      <w:r>
        <w:rPr/>
        <w:t>Marketer Account #18-2122-200-841-1 (Contractor 3)</w:t>
      </w:r>
    </w:p>
    <w:p>
      <w:pPr>
        <w:pStyle w:val="Subtitle"/>
        <w:numPr>
          <w:ilvl w:val="0"/>
          <w:numId w:val="0"/>
        </w:numPr>
        <w:outlineLvl w:val="0"/>
        <w:rPr/>
      </w:pPr>
      <w:r>
        <w:rPr/>
        <w:t>Core Aggregator Transportation Program Account # ______________ (Contractor 2)</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b/>
          <w:spacing w:val="-3"/>
          <w:sz w:val="24"/>
        </w:rPr>
      </w:pPr>
      <w:r>
        <w:rPr>
          <w:rFonts w:cs="Times New Roman" w:ascii="Times New Roman" w:hAnsi="Times New Roman"/>
          <w:spacing w:val="-3"/>
          <w:sz w:val="24"/>
        </w:rPr>
        <w:tab/>
        <w:t>This Agreement, dated as of November 10, 2001, shall set forth the terms and conditions which will govern the margining of transactions (each, a "Transaction") entered into between Southern California Gas Company ("Utility") and</w:t>
      </w:r>
      <w:r>
        <w:rPr>
          <w:rFonts w:cs="Times New Roman" w:ascii="Times New Roman" w:hAnsi="Times New Roman"/>
          <w:spacing w:val="-3"/>
          <w:sz w:val="24"/>
          <w:szCs w:val="24"/>
        </w:rPr>
        <w:t xml:space="preserve"> Enron Administrative Services Corp. ("Contractor 1"), Enron Energy Marketing Corp. ("Contractor 2"), and Enron Energy Services, Inc. ("Contractor 3") under its tariffed Contracted Marketer and Core Aggregation Transportation programs.  Contractor 1, Contractor 2 and Contractor 3 are collectively referred to hereinafter as “Contractor”.  </w:t>
      </w:r>
      <w:r>
        <w:rPr>
          <w:rFonts w:cs="Times New Roman" w:ascii="Times New Roman" w:hAnsi="Times New Roman"/>
          <w:spacing w:val="-3"/>
          <w:sz w:val="24"/>
        </w:rPr>
        <w:t>The tariffs and agreements comprising such program, including, without limitation, Schedule B and ESPA (as defined below) between Utility and Contractor are collectively referred to herein as the "Agreements".</w:t>
      </w:r>
    </w:p>
    <w:p>
      <w:pPr>
        <w:pStyle w:val="Normal"/>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
        <w:ind w:firstLine="720" w:end="0"/>
        <w:jc w:val="both"/>
        <w:rPr/>
      </w:pPr>
      <w:r>
        <w:rPr/>
        <w:t>A.</w:t>
        <w:tab/>
        <w:t xml:space="preserve">Contractor is a Contracted Marketer (subject to Tariff Rule No. 35), and Utility and Contractor have previously entered into those separate Agreements, each titled "Master Services Contract, Schedule B, Marketer/Core Aggregator/Use or Pay Aggregator Agreement" ("Schedule B") as of the following dates: </w:t>
      </w:r>
    </w:p>
    <w:p>
      <w:pPr>
        <w:pStyle w:val="BodyText"/>
        <w:ind w:start="720" w:end="0"/>
        <w:jc w:val="both"/>
        <w:rPr/>
      </w:pPr>
      <w:r>
        <w:rPr/>
      </w:r>
    </w:p>
    <w:p>
      <w:pPr>
        <w:pStyle w:val="BodyText"/>
        <w:ind w:start="720" w:end="0"/>
        <w:jc w:val="both"/>
        <w:rPr/>
      </w:pPr>
      <w:r>
        <w:rPr/>
        <w:t>Contractor 1 - August 20, 1997;</w:t>
      </w:r>
    </w:p>
    <w:p>
      <w:pPr>
        <w:pStyle w:val="BodyText"/>
        <w:ind w:firstLine="720" w:end="0"/>
        <w:jc w:val="both"/>
        <w:rPr/>
      </w:pPr>
      <w:r>
        <w:rPr/>
        <w:t>Contractor 2 – October 1, 1997;</w:t>
      </w:r>
    </w:p>
    <w:p>
      <w:pPr>
        <w:pStyle w:val="BodyText"/>
        <w:jc w:val="both"/>
        <w:rPr/>
      </w:pPr>
      <w:r>
        <w:rPr/>
        <w:tab/>
        <w:t>Contractor 3 – “19</w:t>
      </w:r>
      <w:r>
        <w:rPr>
          <w:vertAlign w:val="superscript"/>
        </w:rPr>
        <w:t>th</w:t>
      </w:r>
      <w:r>
        <w:rPr/>
        <w:t xml:space="preserve"> day of August 20, 1997”.</w:t>
      </w:r>
    </w:p>
    <w:p>
      <w:pPr>
        <w:pStyle w:val="BodyText"/>
        <w:ind w:firstLine="720" w:end="0"/>
        <w:jc w:val="both"/>
        <w:rPr/>
      </w:pPr>
      <w:r>
        <w:rPr/>
      </w:r>
    </w:p>
    <w:p>
      <w:pPr>
        <w:pStyle w:val="BodyText"/>
        <w:jc w:val="both"/>
        <w:rPr>
          <w:u w:val="single"/>
        </w:rPr>
      </w:pPr>
      <w:r>
        <w:rPr/>
        <w:t xml:space="preserve">Contractor 2 is also an Energy Service Provider and Utility and Contractor have previously entered into that certain Energy Service Provider Agreement for Core Aggregation Service as of November 30, 1995 (“ESPA”).  </w:t>
      </w:r>
    </w:p>
    <w:p>
      <w:pPr>
        <w:pStyle w:val="BodyText"/>
        <w:jc w:val="both"/>
        <w:rPr>
          <w:u w:val="single"/>
        </w:rPr>
      </w:pPr>
      <w:r>
        <w:rPr>
          <w:u w:val="single"/>
        </w:rPr>
      </w:r>
    </w:p>
    <w:p>
      <w:pPr>
        <w:pStyle w:val="BodyText"/>
        <w:ind w:firstLine="720" w:end="0"/>
        <w:jc w:val="both"/>
        <w:rPr/>
      </w:pPr>
      <w:r>
        <w:rPr/>
        <w:t>B.</w:t>
        <w:tab/>
        <w:t>All capitalized terms used in this agreement but not defined in this agreement shall have the meanings assigned to them in the Agreements, including, without limitation, Schedule B, ESPA and all tariff rules incorporated therein.</w:t>
      </w:r>
    </w:p>
    <w:p>
      <w:pPr>
        <w:pStyle w:val="BodyText"/>
        <w:jc w:val="both"/>
        <w:rPr/>
      </w:pPr>
      <w:r>
        <w:rPr/>
      </w:r>
    </w:p>
    <w:p>
      <w:pPr>
        <w:pStyle w:val="BodyText"/>
        <w:ind w:firstLine="720" w:end="0"/>
        <w:jc w:val="both"/>
        <w:rPr/>
      </w:pPr>
      <w:r>
        <w:rPr/>
        <w:t>C.</w:t>
        <w:tab/>
        <w:t>Utility and Contractor wish to enter into this Supplemental Margin Agreement as additional security for Contractor’s performance of its obligations under the Agreements.</w:t>
      </w:r>
    </w:p>
    <w:p>
      <w:pPr>
        <w:pStyle w:val="BodyText"/>
        <w:keepNext w:val="true"/>
        <w:keepLines/>
        <w:rPr/>
      </w:pPr>
      <w:r>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1.  As of the close of business on each Business Day, Utility shall calculate the Exposure for each Transaction then outstanding;</w:t>
      </w:r>
      <w:r>
        <w:rPr>
          <w:rFonts w:cs="Times New Roman" w:ascii="Times New Roman" w:hAnsi="Times New Roman"/>
          <w:b/>
          <w:spacing w:val="-3"/>
          <w:sz w:val="24"/>
        </w:rPr>
        <w:t xml:space="preserve"> </w:t>
      </w:r>
      <w:r>
        <w:rPr>
          <w:rFonts w:cs="Times New Roman" w:ascii="Times New Roman" w:hAnsi="Times New Roman"/>
          <w:spacing w:val="-3"/>
          <w:sz w:val="24"/>
        </w:rPr>
        <w:t xml:space="preserve">provided that Utility's Exposure can never be less than zero.  Utility may exclude from the determination of Exposure any amount due under an Agreement of which Utility has received prepayment. </w:t>
      </w:r>
      <w:r>
        <w:rPr>
          <w:rFonts w:cs="Times New Roman" w:ascii="Times New Roman" w:hAnsi="Times New Roman"/>
          <w:sz w:val="24"/>
        </w:rPr>
        <w:t xml:space="preserve"> "Business Day" shall mean any day on which most banks located in Los Angeles, California, are open for the purpose of conducting commercial banking business with the public.</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pPr>
      <w:r>
        <w:rPr>
          <w:rFonts w:cs="Times New Roman" w:ascii="Times New Roman" w:hAnsi="Times New Roman"/>
          <w:spacing w:val="-3"/>
          <w:sz w:val="24"/>
        </w:rPr>
        <w:tab/>
        <w:t xml:space="preserve">2.  If, at the close of business on any Business Day, Utility's Exposure exceeds the "Margin Threshold" (as defined below) applicable to Contractor, then Margin ("Margin") shall be provided or returned so that Utility holds Margin in an amount equal to such excess.  If, at the close of business on any Business Day, Utility's Exposure is less than Margin Threshold, all Margin then held by Utility shall be returned.  Except as provided in the preceding sentence, all payments or returns of Margin shall be rounded to the applicable amount defined below as the "Increment Amount" (and rounded up if exactly between two integral multiples of the applicable Increment Amount).  All Margin due shall be provided (or returned) by the close of business on the next Business Day following the day as of which the calculation determining that such Margin is due or is to be returned occurs.  Utility shall not be required to provide Margin, but only to return Margin when and if so provided in this agreement, </w:t>
      </w:r>
      <w:r>
        <w:rPr>
          <w:rFonts w:cs="Times New Roman" w:ascii="Times New Roman" w:hAnsi="Times New Roman"/>
          <w:spacing w:val="-3"/>
          <w:sz w:val="24"/>
          <w:u w:val="single"/>
        </w:rPr>
        <w:t>provided</w:t>
      </w:r>
      <w:r>
        <w:rPr>
          <w:rFonts w:cs="Times New Roman" w:ascii="Times New Roman" w:hAnsi="Times New Roman"/>
          <w:spacing w:val="-3"/>
          <w:sz w:val="24"/>
        </w:rPr>
        <w:t xml:space="preserve">, </w:t>
      </w:r>
      <w:r>
        <w:rPr>
          <w:rFonts w:cs="Times New Roman" w:ascii="Times New Roman" w:hAnsi="Times New Roman"/>
          <w:spacing w:val="-3"/>
          <w:sz w:val="24"/>
          <w:u w:val="single"/>
        </w:rPr>
        <w:t>however,</w:t>
      </w:r>
      <w:r>
        <w:rPr>
          <w:rFonts w:cs="Times New Roman" w:ascii="Times New Roman" w:hAnsi="Times New Roman"/>
          <w:spacing w:val="-3"/>
          <w:sz w:val="24"/>
        </w:rPr>
        <w:t xml:space="preserve"> that Utility shall not be required to return Margin if and for so long as there has occurred a default or an event which, with the giving of notice or the lapse of time or both, would constitute a default under any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3.  All Margin shall be delivered in the form of: (i) U.S. Dollars delivered by wire transfer of immediately available funds ("Funds") or (ii) a letter of credit ("L/C") meeting the requirements set forth below.  Each L/C delivered under this agreement shall (a) be an irrevocable standby letter of credit in favor of Utility substantially in the form attached hereto as Annex I hereto, (b) be issued or confirmed by a bank which is acceptable to Utility, (c) have such terms and conditions as the Utility shall specify, and (d) be fully enforceable and not the subject of any action restraining or attempting to restrain payment thereunder.  All costs relating to such L/C shall be for the account of Contractor.  For purposes of determining the amount of Margin held at any time an L/C shall be valued at zero unless it expires more than thirty days after the date of valuation.</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4.</w:t>
        <w:tab/>
        <w:t>(a)  The "Margin Threshold" applicable to a party and the corresponding "Increment Amount" shall be the amount specified below :</w:t>
      </w:r>
    </w:p>
    <w:p>
      <w:pPr>
        <w:pStyle w:val="Normal"/>
        <w:suppressAutoHyphens w:val="true"/>
        <w:jc w:val="both"/>
        <w:rPr>
          <w:rFonts w:ascii="Times New Roman" w:hAnsi="Times New Roman" w:cs="Times New Roman"/>
          <w:color w:val="000000"/>
          <w:spacing w:val="-3"/>
          <w:sz w:val="24"/>
        </w:rPr>
      </w:pPr>
      <w:r>
        <w:rPr>
          <w:rFonts w:cs="Times New Roman" w:ascii="Times New Roman" w:hAnsi="Times New Roman"/>
          <w:color w:val="000000"/>
          <w:spacing w:val="-3"/>
          <w:sz w:val="24"/>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4788" w:type="dxa"/>
            <w:gridSpan w:val="2"/>
            <w:tcBorders/>
          </w:tcPr>
          <w:p>
            <w:pPr>
              <w:pStyle w:val="Heading1"/>
              <w:snapToGrid w:val="false"/>
              <w:ind w:hanging="0" w:start="0"/>
              <w:rPr>
                <w:color w:val="000000"/>
                <w:sz w:val="20"/>
              </w:rPr>
            </w:pPr>
            <w:r>
              <w:rPr>
                <w:color w:val="000000"/>
                <w:sz w:val="20"/>
              </w:rPr>
            </w:r>
          </w:p>
        </w:tc>
        <w:tc>
          <w:tcPr>
            <w:tcW w:w="2394" w:type="dxa"/>
            <w:tcBorders/>
          </w:tcPr>
          <w:p>
            <w:pPr>
              <w:pStyle w:val="Normal"/>
              <w:suppressAutoHyphens w:val="true"/>
              <w:jc w:val="both"/>
              <w:rPr/>
            </w:pPr>
            <w:r>
              <w:rPr>
                <w:rFonts w:cs="Times New Roman" w:ascii="Times New Roman" w:hAnsi="Times New Roman"/>
                <w:color w:val="000000"/>
                <w:spacing w:val="-3"/>
              </w:rPr>
              <w:t>M</w:t>
            </w:r>
            <w:r>
              <w:rPr>
                <w:rFonts w:cs="Times New Roman" w:ascii="Times New Roman" w:hAnsi="Times New Roman"/>
                <w:color w:val="000000"/>
                <w:spacing w:val="-3"/>
                <w:u w:val="single"/>
              </w:rPr>
              <w:t>argin Threshold</w:t>
            </w:r>
          </w:p>
        </w:tc>
        <w:tc>
          <w:tcPr>
            <w:tcW w:w="2394" w:type="dxa"/>
            <w:tcBorders/>
          </w:tcPr>
          <w:p>
            <w:pPr>
              <w:pStyle w:val="Normal"/>
              <w:suppressAutoHyphens w:val="true"/>
              <w:jc w:val="both"/>
              <w:rPr>
                <w:rFonts w:ascii="Times New Roman" w:hAnsi="Times New Roman" w:cs="Times New Roman"/>
                <w:color w:val="000000"/>
                <w:spacing w:val="-3"/>
                <w:u w:val="single"/>
              </w:rPr>
            </w:pPr>
            <w:r>
              <w:rPr>
                <w:rFonts w:cs="Times New Roman" w:ascii="Times New Roman" w:hAnsi="Times New Roman"/>
                <w:color w:val="000000"/>
                <w:spacing w:val="-3"/>
                <w:u w:val="single"/>
              </w:rPr>
              <w:t>Increment Amount</w:t>
            </w:r>
          </w:p>
        </w:tc>
      </w:tr>
      <w:tr>
        <w:trPr/>
        <w:tc>
          <w:tcPr>
            <w:tcW w:w="2394" w:type="dxa"/>
            <w:tcBorders/>
          </w:tcPr>
          <w:p>
            <w:pPr>
              <w:pStyle w:val="Heading1"/>
              <w:snapToGrid w:val="false"/>
              <w:ind w:hanging="0" w:start="0"/>
              <w:rPr>
                <w:rFonts w:ascii="Times New Roman" w:hAnsi="Times New Roman" w:cs="Times New Roman"/>
                <w:b/>
                <w:color w:val="000000"/>
                <w:spacing w:val="-3"/>
                <w:sz w:val="20"/>
                <w:u w:val="single"/>
              </w:rPr>
            </w:pPr>
            <w:r>
              <w:rPr>
                <w:rFonts w:cs="Times New Roman"/>
                <w:b/>
                <w:color w:val="000000"/>
                <w:spacing w:val="-3"/>
                <w:sz w:val="20"/>
                <w:u w:val="single"/>
              </w:rPr>
            </w:r>
          </w:p>
        </w:tc>
        <w:tc>
          <w:tcPr>
            <w:tcW w:w="2394" w:type="dxa"/>
            <w:tcBorders/>
          </w:tcPr>
          <w:p>
            <w:pPr>
              <w:pStyle w:val="Heading1"/>
              <w:snapToGrid w:val="false"/>
              <w:ind w:hanging="0" w:start="0"/>
              <w:rPr>
                <w:color w:val="000000"/>
                <w:sz w:val="20"/>
              </w:rPr>
            </w:pPr>
            <w:r>
              <w:rPr>
                <w:color w:val="000000"/>
                <w:sz w:val="20"/>
              </w:rPr>
            </w:r>
          </w:p>
        </w:tc>
        <w:tc>
          <w:tcPr>
            <w:tcW w:w="2394" w:type="dxa"/>
            <w:tcBorders/>
          </w:tcPr>
          <w:p>
            <w:pPr>
              <w:pStyle w:val="Normal"/>
              <w:suppressAutoHyphens w:val="true"/>
              <w:snapToGrid w:val="false"/>
              <w:jc w:val="both"/>
              <w:rPr>
                <w:rFonts w:ascii="Times New Roman" w:hAnsi="Times New Roman" w:cs="Times New Roman"/>
                <w:color w:val="000000"/>
                <w:spacing w:val="-3"/>
                <w:sz w:val="20"/>
                <w:u w:val="single"/>
              </w:rPr>
            </w:pPr>
            <w:r>
              <w:rPr>
                <w:rFonts w:cs="Times New Roman" w:ascii="Times New Roman" w:hAnsi="Times New Roman"/>
                <w:color w:val="000000"/>
                <w:spacing w:val="-3"/>
                <w:sz w:val="20"/>
                <w:u w:val="single"/>
              </w:rPr>
            </w:r>
          </w:p>
        </w:tc>
        <w:tc>
          <w:tcPr>
            <w:tcW w:w="2394" w:type="dxa"/>
            <w:tcBorders/>
          </w:tcPr>
          <w:p>
            <w:pPr>
              <w:pStyle w:val="Normal"/>
              <w:suppressAutoHyphens w:val="true"/>
              <w:snapToGrid w:val="false"/>
              <w:jc w:val="both"/>
              <w:rPr>
                <w:rFonts w:ascii="Times New Roman" w:hAnsi="Times New Roman" w:cs="Times New Roman"/>
                <w:color w:val="000000"/>
                <w:spacing w:val="-3"/>
                <w:u w:val="single"/>
              </w:rPr>
            </w:pPr>
            <w:r>
              <w:rPr>
                <w:rFonts w:cs="Times New Roman" w:ascii="Times New Roman" w:hAnsi="Times New Roman"/>
                <w:color w:val="000000"/>
                <w:spacing w:val="-3"/>
                <w:u w:val="single"/>
              </w:rPr>
            </w:r>
          </w:p>
        </w:tc>
      </w:tr>
      <w:tr>
        <w:trPr/>
        <w:tc>
          <w:tcPr>
            <w:tcW w:w="2394" w:type="dxa"/>
            <w:tcBorders/>
          </w:tcPr>
          <w:p>
            <w:pPr>
              <w:pStyle w:val="EndnoteText"/>
              <w:suppressAutoHyphens w:val="true"/>
              <w:snapToGrid w:val="false"/>
              <w:rPr>
                <w:rFonts w:ascii="Times New Roman" w:hAnsi="Times New Roman" w:cs="Times New Roman"/>
                <w:b/>
                <w:color w:val="000000"/>
                <w:spacing w:val="-3"/>
                <w:sz w:val="20"/>
                <w:u w:val="single"/>
              </w:rPr>
            </w:pPr>
            <w:r>
              <w:rPr>
                <w:rFonts w:cs="Times New Roman" w:ascii="Times New Roman" w:hAnsi="Times New Roman"/>
                <w:b/>
                <w:color w:val="000000"/>
                <w:spacing w:val="-3"/>
                <w:sz w:val="20"/>
                <w:u w:val="single"/>
              </w:rPr>
            </w:r>
          </w:p>
        </w:tc>
        <w:tc>
          <w:tcPr>
            <w:tcW w:w="2394" w:type="dxa"/>
            <w:tcBorders/>
          </w:tcPr>
          <w:p>
            <w:pPr>
              <w:pStyle w:val="EndnoteText"/>
              <w:suppressAutoHyphens w:val="true"/>
              <w:snapToGrid w:val="false"/>
              <w:rPr>
                <w:rFonts w:ascii="Times New Roman" w:hAnsi="Times New Roman" w:cs="Times New Roman"/>
                <w:color w:val="000000"/>
                <w:spacing w:val="-3"/>
                <w:sz w:val="20"/>
              </w:rPr>
            </w:pPr>
            <w:r>
              <w:rPr>
                <w:rFonts w:cs="Times New Roman" w:ascii="Times New Roman" w:hAnsi="Times New Roman"/>
                <w:color w:val="000000"/>
                <w:spacing w:val="-3"/>
                <w:sz w:val="20"/>
              </w:rPr>
            </w:r>
          </w:p>
        </w:tc>
        <w:tc>
          <w:tcPr>
            <w:tcW w:w="2394" w:type="dxa"/>
            <w:tcBorders/>
          </w:tcPr>
          <w:p>
            <w:pPr>
              <w:pStyle w:val="Normal"/>
              <w:suppressAutoHyphens w:val="true"/>
              <w:jc w:val="both"/>
              <w:rPr>
                <w:rFonts w:ascii="Times New Roman" w:hAnsi="Times New Roman" w:cs="Times New Roman"/>
                <w:color w:val="000000"/>
                <w:spacing w:val="-3"/>
              </w:rPr>
            </w:pPr>
            <w:r>
              <w:rPr>
                <w:rFonts w:cs="Times New Roman" w:ascii="Times New Roman" w:hAnsi="Times New Roman"/>
                <w:color w:val="000000"/>
              </w:rPr>
              <w:t>$2,500,000</w:t>
            </w:r>
          </w:p>
        </w:tc>
        <w:tc>
          <w:tcPr>
            <w:tcW w:w="2394" w:type="dxa"/>
            <w:tcBorders/>
          </w:tcPr>
          <w:p>
            <w:pPr>
              <w:pStyle w:val="Normal"/>
              <w:suppressAutoHyphens w:val="true"/>
              <w:jc w:val="both"/>
              <w:rPr>
                <w:rFonts w:ascii="Times New Roman" w:hAnsi="Times New Roman" w:cs="Times New Roman"/>
                <w:color w:val="000000"/>
                <w:spacing w:val="-3"/>
              </w:rPr>
            </w:pPr>
            <w:r>
              <w:rPr>
                <w:rFonts w:cs="Times New Roman" w:ascii="Times New Roman" w:hAnsi="Times New Roman"/>
                <w:color w:val="000000"/>
              </w:rPr>
              <w:t>$100,000</w:t>
            </w:r>
          </w:p>
        </w:tc>
      </w:tr>
      <w:tr>
        <w:trPr/>
        <w:tc>
          <w:tcPr>
            <w:tcW w:w="2394" w:type="dxa"/>
            <w:tcBorders/>
          </w:tcPr>
          <w:p>
            <w:pPr>
              <w:pStyle w:val="EndnoteText"/>
              <w:suppressAutoHyphens w:val="true"/>
              <w:snapToGrid w:val="false"/>
              <w:rPr>
                <w:rFonts w:ascii="Times New Roman" w:hAnsi="Times New Roman" w:cs="Times New Roman"/>
                <w:b/>
                <w:color w:val="000000"/>
                <w:spacing w:val="-3"/>
                <w:sz w:val="20"/>
                <w:u w:val="single"/>
              </w:rPr>
            </w:pPr>
            <w:r>
              <w:rPr>
                <w:rFonts w:cs="Times New Roman" w:ascii="Times New Roman" w:hAnsi="Times New Roman"/>
                <w:b/>
                <w:color w:val="000000"/>
                <w:spacing w:val="-3"/>
                <w:sz w:val="20"/>
                <w:u w:val="single"/>
              </w:rPr>
            </w:r>
          </w:p>
        </w:tc>
        <w:tc>
          <w:tcPr>
            <w:tcW w:w="2394" w:type="dxa"/>
            <w:tcBorders/>
          </w:tcPr>
          <w:p>
            <w:pPr>
              <w:pStyle w:val="EndnoteText"/>
              <w:suppressAutoHyphens w:val="true"/>
              <w:snapToGrid w:val="false"/>
              <w:rPr>
                <w:rFonts w:ascii="Times New Roman" w:hAnsi="Times New Roman" w:cs="Times New Roman"/>
                <w:color w:val="000000"/>
                <w:spacing w:val="-3"/>
                <w:sz w:val="20"/>
                <w:u w:val="single"/>
              </w:rPr>
            </w:pPr>
            <w:r>
              <w:rPr>
                <w:rFonts w:cs="Times New Roman" w:ascii="Times New Roman" w:hAnsi="Times New Roman"/>
                <w:color w:val="000000"/>
                <w:spacing w:val="-3"/>
                <w:sz w:val="20"/>
                <w:u w:val="single"/>
              </w:rPr>
            </w:r>
          </w:p>
        </w:tc>
        <w:tc>
          <w:tcPr>
            <w:tcW w:w="2394" w:type="dxa"/>
            <w:tcBorders/>
          </w:tcPr>
          <w:p>
            <w:pPr>
              <w:pStyle w:val="Normal"/>
              <w:suppressAutoHyphens w:val="true"/>
              <w:snapToGrid w:val="false"/>
              <w:jc w:val="both"/>
              <w:rPr>
                <w:rFonts w:ascii="Times New Roman" w:hAnsi="Times New Roman" w:cs="Times New Roman"/>
                <w:color w:val="000000"/>
                <w:spacing w:val="-3"/>
                <w:sz w:val="20"/>
                <w:u w:val="single"/>
              </w:rPr>
            </w:pPr>
            <w:r>
              <w:rPr>
                <w:rFonts w:cs="Times New Roman" w:ascii="Times New Roman" w:hAnsi="Times New Roman"/>
                <w:color w:val="000000"/>
                <w:spacing w:val="-3"/>
                <w:sz w:val="20"/>
                <w:u w:val="single"/>
              </w:rPr>
            </w:r>
          </w:p>
        </w:tc>
        <w:tc>
          <w:tcPr>
            <w:tcW w:w="2394" w:type="dxa"/>
            <w:tcBorders/>
          </w:tcPr>
          <w:p>
            <w:pPr>
              <w:pStyle w:val="Normal"/>
              <w:suppressAutoHyphens w:val="true"/>
              <w:snapToGrid w:val="false"/>
              <w:jc w:val="both"/>
              <w:rPr>
                <w:rFonts w:ascii="Times New Roman" w:hAnsi="Times New Roman" w:cs="Times New Roman"/>
                <w:color w:val="000000"/>
                <w:spacing w:val="-3"/>
                <w:u w:val="single"/>
              </w:rPr>
            </w:pPr>
            <w:r>
              <w:rPr>
                <w:rFonts w:cs="Times New Roman" w:ascii="Times New Roman" w:hAnsi="Times New Roman"/>
                <w:color w:val="000000"/>
                <w:spacing w:val="-3"/>
                <w:u w:val="single"/>
              </w:rPr>
            </w:r>
          </w:p>
        </w:tc>
      </w:tr>
      <w:tr>
        <w:trPr/>
        <w:tc>
          <w:tcPr>
            <w:tcW w:w="2394" w:type="dxa"/>
            <w:tcBorders/>
          </w:tcPr>
          <w:p>
            <w:pPr>
              <w:pStyle w:val="EndnoteText"/>
              <w:suppressAutoHyphens w:val="true"/>
              <w:snapToGrid w:val="false"/>
              <w:rPr>
                <w:rFonts w:ascii="Times New Roman" w:hAnsi="Times New Roman" w:cs="Times New Roman"/>
                <w:b/>
                <w:color w:val="000000"/>
                <w:spacing w:val="-3"/>
                <w:sz w:val="20"/>
                <w:u w:val="single"/>
              </w:rPr>
            </w:pPr>
            <w:r>
              <w:rPr>
                <w:rFonts w:cs="Times New Roman" w:ascii="Times New Roman" w:hAnsi="Times New Roman"/>
                <w:b/>
                <w:color w:val="000000"/>
                <w:spacing w:val="-3"/>
                <w:sz w:val="20"/>
                <w:u w:val="single"/>
              </w:rPr>
            </w:r>
          </w:p>
        </w:tc>
        <w:tc>
          <w:tcPr>
            <w:tcW w:w="2394" w:type="dxa"/>
            <w:tcBorders/>
          </w:tcPr>
          <w:p>
            <w:pPr>
              <w:pStyle w:val="EndnoteText"/>
              <w:suppressAutoHyphens w:val="true"/>
              <w:snapToGrid w:val="false"/>
              <w:rPr>
                <w:rFonts w:ascii="Times New Roman" w:hAnsi="Times New Roman" w:cs="Times New Roman"/>
                <w:color w:val="000000"/>
                <w:spacing w:val="-3"/>
                <w:sz w:val="20"/>
              </w:rPr>
            </w:pPr>
            <w:r>
              <w:rPr>
                <w:rFonts w:cs="Times New Roman" w:ascii="Times New Roman" w:hAnsi="Times New Roman"/>
                <w:color w:val="000000"/>
                <w:spacing w:val="-3"/>
                <w:sz w:val="20"/>
              </w:rPr>
            </w:r>
          </w:p>
        </w:tc>
        <w:tc>
          <w:tcPr>
            <w:tcW w:w="2394" w:type="dxa"/>
            <w:tcBorders/>
          </w:tcPr>
          <w:p>
            <w:pPr>
              <w:pStyle w:val="Normal"/>
              <w:suppressAutoHyphens w:val="true"/>
              <w:snapToGrid w:val="false"/>
              <w:jc w:val="both"/>
              <w:rPr>
                <w:rFonts w:ascii="Times New Roman" w:hAnsi="Times New Roman" w:cs="Times New Roman"/>
                <w:color w:val="000000"/>
                <w:spacing w:val="-3"/>
                <w:sz w:val="20"/>
              </w:rPr>
            </w:pPr>
            <w:r>
              <w:rPr>
                <w:rFonts w:cs="Times New Roman" w:ascii="Times New Roman" w:hAnsi="Times New Roman"/>
                <w:color w:val="000000"/>
                <w:spacing w:val="-3"/>
                <w:sz w:val="20"/>
              </w:rPr>
            </w:r>
          </w:p>
        </w:tc>
        <w:tc>
          <w:tcPr>
            <w:tcW w:w="2394" w:type="dxa"/>
            <w:tcBorders/>
          </w:tcPr>
          <w:p>
            <w:pPr>
              <w:pStyle w:val="Normal"/>
              <w:suppressAutoHyphens w:val="true"/>
              <w:snapToGrid w:val="false"/>
              <w:jc w:val="both"/>
              <w:rPr>
                <w:rFonts w:ascii="Times New Roman" w:hAnsi="Times New Roman" w:cs="Times New Roman"/>
                <w:color w:val="000000"/>
                <w:spacing w:val="-3"/>
              </w:rPr>
            </w:pPr>
            <w:r>
              <w:rPr>
                <w:rFonts w:cs="Times New Roman" w:ascii="Times New Roman" w:hAnsi="Times New Roman"/>
                <w:color w:val="000000"/>
                <w:spacing w:val="-3"/>
              </w:rPr>
            </w:r>
          </w:p>
        </w:tc>
      </w:tr>
      <w:tr>
        <w:trPr/>
        <w:tc>
          <w:tcPr>
            <w:tcW w:w="2394" w:type="dxa"/>
            <w:tcBorders/>
          </w:tcPr>
          <w:p>
            <w:pPr>
              <w:pStyle w:val="EndnoteText"/>
              <w:suppressAutoHyphens w:val="true"/>
              <w:snapToGrid w:val="false"/>
              <w:rPr>
                <w:rFonts w:ascii="Times New Roman" w:hAnsi="Times New Roman" w:cs="Times New Roman"/>
                <w:b/>
                <w:color w:val="000000"/>
                <w:spacing w:val="-3"/>
                <w:sz w:val="16"/>
                <w:u w:val="single"/>
              </w:rPr>
            </w:pPr>
            <w:r>
              <w:rPr>
                <w:rFonts w:cs="Times New Roman" w:ascii="Times New Roman" w:hAnsi="Times New Roman"/>
                <w:b/>
                <w:color w:val="000000"/>
                <w:spacing w:val="-3"/>
                <w:sz w:val="16"/>
                <w:u w:val="single"/>
              </w:rPr>
            </w:r>
          </w:p>
        </w:tc>
        <w:tc>
          <w:tcPr>
            <w:tcW w:w="2394" w:type="dxa"/>
            <w:tcBorders/>
          </w:tcPr>
          <w:p>
            <w:pPr>
              <w:pStyle w:val="EndnoteText"/>
              <w:suppressAutoHyphens w:val="true"/>
              <w:snapToGrid w:val="false"/>
              <w:rPr>
                <w:rFonts w:ascii="Times New Roman" w:hAnsi="Times New Roman" w:cs="Times New Roman"/>
                <w:color w:val="000000"/>
                <w:spacing w:val="-3"/>
                <w:sz w:val="16"/>
                <w:u w:val="single"/>
              </w:rPr>
            </w:pPr>
            <w:r>
              <w:rPr>
                <w:rFonts w:cs="Times New Roman" w:ascii="Times New Roman" w:hAnsi="Times New Roman"/>
                <w:color w:val="000000"/>
                <w:spacing w:val="-3"/>
                <w:sz w:val="16"/>
                <w:u w:val="single"/>
              </w:rPr>
            </w:r>
          </w:p>
        </w:tc>
        <w:tc>
          <w:tcPr>
            <w:tcW w:w="2394" w:type="dxa"/>
            <w:tcBorders/>
          </w:tcPr>
          <w:p>
            <w:pPr>
              <w:pStyle w:val="Normal"/>
              <w:suppressAutoHyphens w:val="true"/>
              <w:snapToGrid w:val="false"/>
              <w:jc w:val="both"/>
              <w:rPr>
                <w:rFonts w:ascii="Times New Roman" w:hAnsi="Times New Roman" w:cs="Times New Roman"/>
                <w:color w:val="000000"/>
                <w:spacing w:val="-3"/>
                <w:sz w:val="16"/>
                <w:u w:val="single"/>
              </w:rPr>
            </w:pPr>
            <w:r>
              <w:rPr>
                <w:rFonts w:cs="Times New Roman" w:ascii="Times New Roman" w:hAnsi="Times New Roman"/>
                <w:color w:val="000000"/>
                <w:spacing w:val="-3"/>
                <w:sz w:val="16"/>
                <w:u w:val="single"/>
              </w:rPr>
            </w:r>
          </w:p>
        </w:tc>
        <w:tc>
          <w:tcPr>
            <w:tcW w:w="2394" w:type="dxa"/>
            <w:tcBorders/>
          </w:tcPr>
          <w:p>
            <w:pPr>
              <w:pStyle w:val="Normal"/>
              <w:suppressAutoHyphens w:val="true"/>
              <w:snapToGrid w:val="false"/>
              <w:jc w:val="both"/>
              <w:rPr>
                <w:rFonts w:ascii="Times New Roman" w:hAnsi="Times New Roman" w:cs="Times New Roman"/>
                <w:color w:val="000000"/>
                <w:spacing w:val="-3"/>
                <w:sz w:val="16"/>
                <w:u w:val="single"/>
              </w:rPr>
            </w:pPr>
            <w:r>
              <w:rPr>
                <w:rFonts w:cs="Times New Roman" w:ascii="Times New Roman" w:hAnsi="Times New Roman"/>
                <w:color w:val="000000"/>
                <w:spacing w:val="-3"/>
                <w:sz w:val="16"/>
                <w:u w:val="single"/>
              </w:rPr>
            </w:r>
          </w:p>
        </w:tc>
      </w:tr>
    </w:tbl>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The Margin Threshold and/or Increment Amount may be changed for valid business reasons by Utility, in its reasonably exercised discretion, on ten Business Days notice to Contractor.</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5.  Contractor grants to Utility a security interest in all Margin from time to time provided to Utility to secure all present and future obligations of Contractor to Utility under this agreement and the Agreements.  Funds held as Margin shall bear interest calculated on a daily basis at overnight LIBID as from time to time in effect (as reported on Telerate), with the net amount of interest accrued monthly being payable on the third Business Day of the following month.  Utility shall have the free and unrestricted right to use and dispose of all Margin which it holds, subject only to its obligations to return Margin if and when so required under this agreement.</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rPr/>
      </w:pPr>
      <w:r>
        <w:rPr/>
        <w:t>6.  For purposes of this agreement, "Exposure" means: with respect to the Contracted Marketer program, the difference between gas used by Contractor’s customers and gas scheduled for delivery to Contractor’s Contracted Marketer account (including any such gas nominated into Utility's system by Contractor from Contractor's storage account with Utility), multiplied by the most recently published Noncore Standby Rate under tariff Schedule No. G-IMB, plus any imbalance charges billed by Utility, but unpaid by Contractor; and with respect to the Core Aggregation Transportation program, the difference between the customers’ Daily Contract Quantities and gas scheduled for delivery to Contractor’s ESP account including gas nominated as provided above (but excluding any gas which was in storage to meet its core reliability monthly storage inventory requirement) multiplied by the Core Standby Rate.</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 xml:space="preserve">7.  </w:t>
      </w:r>
      <w:r>
        <w:rPr>
          <w:rFonts w:cs="Times New Roman" w:ascii="Times New Roman" w:hAnsi="Times New Roman"/>
          <w:sz w:val="24"/>
        </w:rPr>
        <w:t xml:space="preserve">If Contractor defaults in its performance of any obligations hereunder, including, without limitation, providing Margin within the time frame described in Paragraph 2, Utility may provide Contractor, by written notice, one Business Day in which to cure such default.  If Contractor fails to cure for any reason within such Business Day, then Contractor's status as a Contracted Marketer and an ESP and participation in the Contracted Marketer and Core Aggregation Transportation programs may be terminated upon written notice as provided by and in accordance with the notice periods of Schedule B, the ESPA and Tariff Rule Nos. 32 and 35.  </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
        <w:ind w:firstLine="720" w:end="0"/>
        <w:jc w:val="both"/>
        <w:rPr/>
      </w:pPr>
      <w:r>
        <w:rPr/>
        <w:t>8.  Upon Contractor’s termination as a Contracted Marketer and ESP, Contractor's rights to serve customers as a Contracted Marketer and ESP will terminate.  Termination shall also have the effects set forth in Tariff Rule No. 35.F and 32.C.5.  In order to minimize the loss to Utility and Contractor, Utility may allow Contractor to take the following actions post-termination:</w:t>
      </w:r>
    </w:p>
    <w:p>
      <w:pPr>
        <w:pStyle w:val="BodyText"/>
        <w:ind w:start="720" w:end="0"/>
        <w:rPr>
          <w:u w:val="single"/>
        </w:rPr>
      </w:pPr>
      <w:r>
        <w:rPr>
          <w:u w:val="single"/>
        </w:rPr>
      </w:r>
    </w:p>
    <w:p>
      <w:pPr>
        <w:pStyle w:val="BodyText"/>
        <w:ind w:firstLine="720" w:end="0"/>
        <w:jc w:val="both"/>
        <w:rPr/>
      </w:pPr>
      <w:r>
        <w:rPr/>
        <w:tab/>
        <w:t>A.</w:t>
        <w:tab/>
        <w:t>Month of Termination:  After the termination, during the remainder of that month, Contractor may be allowed to make nominations into Utility's system via fax and participate in the next regular imbalance-trading period.</w:t>
      </w:r>
    </w:p>
    <w:p>
      <w:pPr>
        <w:pStyle w:val="BodyText"/>
        <w:jc w:val="both"/>
        <w:rPr/>
      </w:pPr>
      <w:r>
        <w:rPr/>
      </w:r>
    </w:p>
    <w:p>
      <w:pPr>
        <w:pStyle w:val="BodyText"/>
        <w:ind w:firstLine="720" w:end="0"/>
        <w:jc w:val="both"/>
        <w:rPr/>
      </w:pPr>
      <w:r>
        <w:rPr/>
        <w:tab/>
        <w:t>B.</w:t>
        <w:tab/>
        <w:t>First Calendar Month after Termination:  In the first full calendar month after termination and any subsequent month, nominations may be prohibited, but Contractor may be allowed to participate in that month's imbalance trading period via fax.</w:t>
      </w:r>
    </w:p>
    <w:p>
      <w:pPr>
        <w:pStyle w:val="BodyText"/>
        <w:jc w:val="both"/>
        <w:rPr/>
      </w:pPr>
      <w:r>
        <w:rPr/>
      </w:r>
    </w:p>
    <w:p>
      <w:pPr>
        <w:pStyle w:val="BodyText"/>
        <w:ind w:firstLine="720" w:end="0"/>
        <w:jc w:val="both"/>
        <w:rPr/>
      </w:pPr>
      <w:r>
        <w:rPr/>
        <w:tab/>
        <w:t>C.</w:t>
        <w:tab/>
        <w:t>Post-Termination Deliveries:  Any post-termination natural gas deliveries made to Contractor’s account in the month of termination may be held by Utility until all deficiencies in Contractor’s account have been cleared.</w:t>
      </w:r>
    </w:p>
    <w:p>
      <w:pPr>
        <w:pStyle w:val="BodyText"/>
        <w:jc w:val="both"/>
        <w:rPr/>
      </w:pPr>
      <w:r>
        <w:rPr/>
      </w:r>
    </w:p>
    <w:p>
      <w:pPr>
        <w:pStyle w:val="BodyText"/>
        <w:jc w:val="both"/>
        <w:rPr/>
      </w:pPr>
      <w:r>
        <w:rPr/>
        <w:t>Contractor agrees that notwithstanding any provisions in its agreements with its customers to the contrary, Contractor shall allow its customers to select a new Contracted Marketer effective the first of the month (that Contractor is terminated) if the customers choose to do so.  For customers who do not retroactively contract with a new Contracted Marketer, Utility may apply pre-termination deliveries to such customers on a pro-rata basis.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b/>
        <w:t>9.  THIS SUPPLEMENTAL MARGIN AGREEMENT SHALL BE GOVERNED BY AND CONSTRUED IN ACCORDANCE WITH THE INTERNAL LAWS OF THE STATE OF CALIFORNIA, WITHOUT GIVING EFFECT TO PRINCIPLES OF CONFLICTS OF LAW.  EACH PARTY SUBMITS TO THE JURISDICTION OF THE STATE AND FEDERAL COURTS LOCATED IN LOS ANGELES COUNTY, FOR ANY ACTION OR PROCEEDING RELATING TO THIS SUPPLEMENTAL MARGIN AGREEMENT, AND EXPRESSLY WAIVES ANY OBJECTION IT MAY HAVE TO SUCH JURISDICTION, VENUE OR THE CONVENIENCE OF SUCH FORUM.</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pPr>
      <w:r>
        <w:rPr>
          <w:rFonts w:cs="Times New Roman" w:ascii="Times New Roman" w:hAnsi="Times New Roman"/>
          <w:b/>
          <w:spacing w:val="-3"/>
          <w:sz w:val="24"/>
        </w:rPr>
        <w:tab/>
      </w:r>
      <w:r>
        <w:rPr>
          <w:rFonts w:cs="Times New Roman" w:ascii="Times New Roman" w:hAnsi="Times New Roman"/>
          <w:spacing w:val="-3"/>
          <w:sz w:val="24"/>
        </w:rPr>
        <w:t>10.  This Supplemental Margin Agreement along with the Agreements contains the entire agreement between the parties with respect to the subject matter hereof and shall amend and supersede that certain Guaranteed Delivery Agreement between the parties, dated as of January 19, 2001.</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szCs w:val="24"/>
        </w:rPr>
      </w:pPr>
      <w:r>
        <w:rPr>
          <w:rFonts w:cs="Times New Roman" w:ascii="Times New Roman" w:hAnsi="Times New Roman"/>
          <w:spacing w:val="-3"/>
          <w:sz w:val="24"/>
          <w:szCs w:val="24"/>
        </w:rPr>
        <w:tab/>
        <w:t>11.  For purposes of this Supplemental Margin Agreement, Utility’s Exposure under all Agreements with Contractor 1, Contractor 2, and Contractor 3 shall be combined, and the liability of each Contractor under this Agreement shall be joint and several.</w:t>
      </w:r>
    </w:p>
    <w:p>
      <w:pPr>
        <w:pStyle w:val="Normal"/>
        <w:suppressAutoHyphens w:val="true"/>
        <w:jc w:val="both"/>
        <w:rPr>
          <w:rFonts w:ascii="Times New Roman" w:hAnsi="Times New Roman" w:cs="Times New Roman"/>
          <w:spacing w:val="-3"/>
          <w:sz w:val="24"/>
          <w:szCs w:val="24"/>
        </w:rPr>
      </w:pPr>
      <w:r>
        <w:rPr>
          <w:rFonts w:cs="Times New Roman" w:ascii="Times New Roman" w:hAnsi="Times New Roman"/>
          <w:spacing w:val="-3"/>
          <w:sz w:val="24"/>
          <w:szCs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220" w:leader="none"/>
          <w:tab w:val="left" w:pos="5400" w:leader="none"/>
          <w:tab w:val="left" w:pos="6480" w:leader="none"/>
          <w:tab w:val="left" w:pos="7200" w:leader="none"/>
          <w:tab w:val="left" w:pos="7920" w:leader="none"/>
          <w:tab w:val="left" w:pos="8730" w:leader="none"/>
          <w:tab w:val="left" w:pos="9450" w:leader="none"/>
        </w:tabs>
        <w:suppressAutoHyphens w:val="true"/>
        <w:jc w:val="both"/>
        <w:rPr/>
      </w:pPr>
      <w:r>
        <w:rPr/>
        <w:tab/>
      </w:r>
      <w:r>
        <w:rPr>
          <w:rFonts w:cs="Times New Roman" w:ascii="Times New Roman" w:hAnsi="Times New Roman"/>
          <w:sz w:val="24"/>
        </w:rPr>
        <w:t xml:space="preserve">IN WITNESS WHEREOF, the parties have executed this </w:t>
      </w:r>
      <w:r>
        <w:rPr>
          <w:rFonts w:cs="Times New Roman" w:ascii="Times New Roman" w:hAnsi="Times New Roman"/>
          <w:spacing w:val="-3"/>
          <w:sz w:val="24"/>
        </w:rPr>
        <w:t xml:space="preserve">Supplemental Margin Agreement </w:t>
      </w:r>
      <w:r>
        <w:rPr>
          <w:rFonts w:cs="Times New Roman" w:ascii="Times New Roman" w:hAnsi="Times New Roman"/>
          <w:sz w:val="24"/>
        </w:rPr>
        <w:t>as of the date specified on the first page hereof.</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tab/>
        <w:tab/>
        <w:tab/>
        <w:tab/>
        <w:tab/>
        <w:t>CONTRACTOR 1</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uppressAutoHyphens w:val="true"/>
        <w:outlineLvl w:val="0"/>
        <w:rPr>
          <w:rFonts w:ascii="Times New Roman" w:hAnsi="Times New Roman" w:cs="Times New Roman"/>
          <w:sz w:val="24"/>
          <w:szCs w:val="24"/>
        </w:rPr>
      </w:pPr>
      <w:r>
        <w:rPr>
          <w:rFonts w:cs="Times New Roman" w:ascii="Times New Roman" w:hAnsi="Times New Roman"/>
          <w:sz w:val="24"/>
          <w:szCs w:val="24"/>
        </w:rPr>
        <w:tab/>
        <w:tab/>
        <w:tab/>
        <w:tab/>
        <w:tab/>
        <w:t>By:_______________________________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tab/>
        <w:tab/>
        <w:tab/>
        <w:tab/>
        <w:tab/>
        <w:t xml:space="preserve">     Name:_________________________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tab/>
        <w:tab/>
        <w:tab/>
        <w:tab/>
        <w:tab/>
        <w:t xml:space="preserve">     Title:__________________________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tab/>
        <w:tab/>
        <w:tab/>
        <w:tab/>
        <w:tab/>
        <w:t>CONTRACTOR 2</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uppressAutoHyphens w:val="true"/>
        <w:outlineLvl w:val="0"/>
        <w:rPr>
          <w:rFonts w:ascii="Times New Roman" w:hAnsi="Times New Roman" w:cs="Times New Roman"/>
          <w:sz w:val="24"/>
          <w:szCs w:val="24"/>
        </w:rPr>
      </w:pPr>
      <w:r>
        <w:rPr>
          <w:rFonts w:cs="Times New Roman" w:ascii="Times New Roman" w:hAnsi="Times New Roman"/>
          <w:sz w:val="24"/>
          <w:szCs w:val="24"/>
        </w:rPr>
        <w:tab/>
        <w:tab/>
        <w:tab/>
        <w:tab/>
        <w:tab/>
        <w:t>By:_______________________________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tab/>
        <w:tab/>
        <w:tab/>
        <w:tab/>
        <w:tab/>
        <w:t xml:space="preserve">     Name:_________________________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tab/>
        <w:tab/>
        <w:tab/>
        <w:tab/>
        <w:tab/>
        <w:t xml:space="preserve">     Title:__________________________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suppressAutoHyphens w:val="true"/>
        <w:ind w:firstLine="720" w:start="2880" w:end="0"/>
        <w:rPr>
          <w:rFonts w:ascii="Times New Roman" w:hAnsi="Times New Roman" w:cs="Times New Roman"/>
          <w:sz w:val="24"/>
          <w:szCs w:val="24"/>
        </w:rPr>
      </w:pPr>
      <w:r>
        <w:rPr>
          <w:rFonts w:cs="Times New Roman" w:ascii="Times New Roman" w:hAnsi="Times New Roman"/>
          <w:sz w:val="24"/>
          <w:szCs w:val="24"/>
        </w:rPr>
        <w:t>CONTRACTOR 3</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uppressAutoHyphens w:val="true"/>
        <w:outlineLvl w:val="0"/>
        <w:rPr>
          <w:rFonts w:ascii="Times New Roman" w:hAnsi="Times New Roman" w:cs="Times New Roman"/>
          <w:sz w:val="24"/>
          <w:szCs w:val="24"/>
        </w:rPr>
      </w:pPr>
      <w:r>
        <w:rPr>
          <w:rFonts w:cs="Times New Roman" w:ascii="Times New Roman" w:hAnsi="Times New Roman"/>
          <w:sz w:val="24"/>
          <w:szCs w:val="24"/>
        </w:rPr>
        <w:tab/>
        <w:tab/>
        <w:tab/>
        <w:tab/>
        <w:tab/>
        <w:t>By:_______________________________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tab/>
        <w:tab/>
        <w:tab/>
        <w:tab/>
        <w:tab/>
        <w:t xml:space="preserve">     Name:_________________________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tab/>
        <w:tab/>
        <w:tab/>
        <w:tab/>
        <w:tab/>
        <w:t xml:space="preserve">     Title:__________________________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uppressAutoHyphens w:val="true"/>
        <w:ind w:firstLine="720" w:start="2880" w:end="0"/>
        <w:outlineLvl w:val="0"/>
        <w:rPr>
          <w:rFonts w:ascii="Times New Roman" w:hAnsi="Times New Roman" w:cs="Times New Roman"/>
          <w:sz w:val="24"/>
          <w:szCs w:val="24"/>
        </w:rPr>
      </w:pPr>
      <w:r>
        <w:rPr>
          <w:rFonts w:cs="Times New Roman" w:ascii="Times New Roman" w:hAnsi="Times New Roman"/>
          <w:sz w:val="24"/>
          <w:szCs w:val="24"/>
        </w:rPr>
        <w:t>SOUTHERN CALIFORNIA GAS COMPANY</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uppressAutoHyphens w:val="true"/>
        <w:outlineLvl w:val="0"/>
        <w:rPr>
          <w:rFonts w:ascii="Times New Roman" w:hAnsi="Times New Roman" w:cs="Times New Roman"/>
          <w:sz w:val="24"/>
          <w:szCs w:val="24"/>
        </w:rPr>
      </w:pPr>
      <w:r>
        <w:rPr>
          <w:rFonts w:cs="Times New Roman" w:ascii="Times New Roman" w:hAnsi="Times New Roman"/>
          <w:sz w:val="24"/>
          <w:szCs w:val="24"/>
        </w:rPr>
        <w:tab/>
        <w:tab/>
        <w:tab/>
        <w:tab/>
        <w:tab/>
        <w:t>By:________________________________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tab/>
        <w:tab/>
        <w:tab/>
        <w:tab/>
        <w:tab/>
        <w:t xml:space="preserve">     Name:_________________________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tab/>
        <w:tab/>
        <w:tab/>
        <w:tab/>
        <w:tab/>
        <w:t xml:space="preserve">     Title:__________________________</w:t>
      </w:r>
    </w:p>
    <w:p>
      <w:pPr>
        <w:pStyle w:val="Normal"/>
        <w:suppressAutoHyphens w:val="true"/>
        <w:rPr>
          <w:rFonts w:ascii="Times New Roman" w:hAnsi="Times New Roman" w:cs="Times New Roman"/>
          <w:sz w:val="24"/>
          <w:szCs w:val="24"/>
        </w:rPr>
      </w:pPr>
      <w:r>
        <w:rPr>
          <w:rFonts w:cs="Times New Roman" w:ascii="Times New Roman" w:hAnsi="Times New Roman"/>
          <w:sz w:val="24"/>
          <w:szCs w:val="24"/>
        </w:rPr>
      </w:r>
    </w:p>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sz w:val="12"/>
      </w:rPr>
    </w:pPr>
    <w:r>
      <w:rPr>
        <w:rFonts w:cs="Times New Roman" w:ascii="Times New Roman" w:hAnsi="Times New Roman"/>
        <w:sz w:val="12"/>
      </w:rPr>
      <w:t>95964</w:t>
    </w:r>
  </w:p>
  <w:p>
    <w:pPr>
      <w:pStyle w:val="Normal"/>
      <w:tabs>
        <w:tab w:val="clear" w:pos="720"/>
        <w:tab w:val="left" w:pos="-720" w:leader="none"/>
      </w:tabs>
      <w:suppressAutoHyphens w:val="true"/>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Times New Roman" w:hAnsi="Times New Roman" w:cs="Times New Roman"/>
        <w:sz w:val="16"/>
      </w:rPr>
    </w:pPr>
    <w:r>
      <w:rPr>
        <w:rFonts w:cs="Times New Roman" w:ascii="Times New Roman" w:hAnsi="Times New Roman"/>
        <w:sz w:val="16"/>
      </w:rPr>
      <w:t>95964</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suppressAutoHyphens w:val="true"/>
      <w:jc w:val="center"/>
      <w:outlineLvl w:val="0"/>
    </w:pPr>
    <w:rPr>
      <w:rFonts w:ascii="Times New Roman" w:hAnsi="Times New Roman" w:cs="Times New Roman"/>
      <w:spacing w:val="-3"/>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suppressAutoHyphens w:val="true"/>
      <w:jc w:val="center"/>
    </w:pPr>
    <w:rPr>
      <w:rFonts w:ascii="Times New Roman" w:hAnsi="Times New Roman" w:cs="Times New Roman"/>
      <w:b/>
      <w:sz w:val="24"/>
    </w:rPr>
  </w:style>
  <w:style w:type="paragraph" w:styleId="BodyText">
    <w:name w:val="Body Text"/>
    <w:basedOn w:val="Normal"/>
    <w:pPr>
      <w:widowControl/>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suppressAutoHyphens w:val="true"/>
      <w:jc w:val="end"/>
    </w:pPr>
    <w:rPr>
      <w:rFonts w:ascii="Times New Roman" w:hAnsi="Times New Roman" w:cs="Times New Roman"/>
      <w:sz w:val="24"/>
    </w:rPr>
  </w:style>
  <w:style w:type="paragraph" w:styleId="BodyText2">
    <w:name w:val="Body Text 2"/>
    <w:basedOn w:val="Normal"/>
    <w:qFormat/>
    <w:pPr>
      <w:suppressAutoHyphens w:val="true"/>
      <w:jc w:val="both"/>
    </w:pPr>
    <w:rPr>
      <w:rFonts w:ascii="Times New Roman" w:hAnsi="Times New Roman" w:cs="Times New Roman"/>
      <w:spacing w:val="-3"/>
      <w:sz w:val="24"/>
    </w:rPr>
  </w:style>
  <w:style w:type="paragraph" w:styleId="BodyTextIndent">
    <w:name w:val="Body Text Indent"/>
    <w:basedOn w:val="Normal"/>
    <w:pPr>
      <w:ind w:firstLine="720" w:start="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2001-11-10T02:21:00Z</dcterms:created>
  <dc:creator>MSG</dc:creator>
  <dc:description/>
  <dc:language>en-CA</dc:language>
  <cp:lastModifiedBy>hkingers</cp:lastModifiedBy>
  <cp:lastPrinted>2001-11-09T13:43:00Z</cp:lastPrinted>
  <dcterms:modified xsi:type="dcterms:W3CDTF">2001-11-10T02:21:00Z</dcterms:modified>
  <cp:revision>2</cp:revision>
  <dc:subject/>
  <dc:title>Supplemental Margin Agreement</dc:title>
</cp:coreProperties>
</file>