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Robert E. Davis</w:t>
      </w:r>
    </w:p>
    <w:p>
      <w:pPr>
        <w:pStyle w:val="Normal"/>
        <w:rPr>
          <w:rFonts w:ascii="Arial" w:hAnsi="Arial" w:cs="Arial"/>
        </w:rPr>
      </w:pPr>
      <w:r>
        <w:rPr>
          <w:rFonts w:cs="Arial" w:ascii="Arial" w:hAnsi="Arial"/>
        </w:rPr>
        <w:t>Sempra Energy</w:t>
      </w:r>
    </w:p>
    <w:p>
      <w:pPr>
        <w:pStyle w:val="Normal"/>
        <w:rPr>
          <w:rFonts w:ascii="Arial" w:hAnsi="Arial" w:cs="Arial"/>
        </w:rPr>
      </w:pPr>
      <w:r>
        <w:rPr>
          <w:rFonts w:cs="Arial" w:ascii="Arial" w:hAnsi="Arial"/>
        </w:rPr>
        <w:t>101 Ash Street HQ13A</w:t>
      </w:r>
    </w:p>
    <w:p>
      <w:pPr>
        <w:pStyle w:val="Normal"/>
        <w:rPr>
          <w:rFonts w:ascii="Arial" w:hAnsi="Arial" w:cs="Arial"/>
        </w:rPr>
      </w:pPr>
      <w:r>
        <w:rPr>
          <w:rFonts w:cs="Arial" w:ascii="Arial" w:hAnsi="Arial"/>
        </w:rPr>
        <w:t>San Diego, CA  92101</w:t>
      </w:r>
    </w:p>
    <w:p>
      <w:pPr>
        <w:pStyle w:val="Normal"/>
        <w:rPr>
          <w:rFonts w:ascii="Arial" w:hAnsi="Arial" w:cs="Arial"/>
        </w:rPr>
      </w:pPr>
      <w:r>
        <w:rPr>
          <w:rFonts w:cs="Arial" w:ascii="Arial" w:hAnsi="Arial"/>
        </w:rPr>
      </w:r>
    </w:p>
    <w:p>
      <w:pPr>
        <w:pStyle w:val="Normal"/>
        <w:ind w:start="2520" w:end="0"/>
        <w:rPr>
          <w:rFonts w:ascii="Arial" w:hAnsi="Arial" w:cs="Arial"/>
          <w:u w:val="single"/>
        </w:rPr>
      </w:pPr>
      <w:r>
        <w:rPr>
          <w:rFonts w:cs="Arial" w:ascii="Arial" w:hAnsi="Arial"/>
        </w:rPr>
        <w:t xml:space="preserve">Re:  El Paso Natural Gas Company; </w:t>
      </w:r>
    </w:p>
    <w:p>
      <w:pPr>
        <w:pStyle w:val="Normal"/>
        <w:ind w:start="2520" w:end="0"/>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Mr. Davis:</w:t>
      </w:r>
    </w:p>
    <w:p>
      <w:pPr>
        <w:pStyle w:val="Normal"/>
        <w:rPr>
          <w:rFonts w:ascii="Arial" w:hAnsi="Arial" w:cs="Arial"/>
        </w:rPr>
      </w:pPr>
      <w:r>
        <w:rPr>
          <w:rFonts w:cs="Arial" w:ascii="Arial" w:hAnsi="Arial"/>
        </w:rPr>
      </w:r>
    </w:p>
    <w:p>
      <w:pPr>
        <w:pStyle w:val="BodyText"/>
        <w:ind w:firstLine="720" w:end="0"/>
        <w:rPr>
          <w:rFonts w:ascii="Arial" w:hAnsi="Arial" w:cs="Arial"/>
        </w:rPr>
      </w:pPr>
      <w:r>
        <w:rPr>
          <w:rFonts w:cs="Arial" w:ascii="Arial" w:hAnsi="Arial"/>
        </w:rPr>
        <w:t xml:space="preserve">By letter dated August 31, 2001, Southern California Gas Company submitted informal data requests to El Paso Natural Gas Company as a result of the August 28, 2001 Technical Conference held at Docket Nos. RP00-336-000, et al.  Enclosed are responses to Request Nos. 1, 2 and 4.  El Paso has not provided responses to Request Nos. 3 and 5, since these requests are not relevant to the issues raised in this proceeding and/or to respond would be unduly burdensome for El Paso.   </w:t>
      </w:r>
    </w:p>
    <w:p>
      <w:pPr>
        <w:pStyle w:val="Normal"/>
        <w:jc w:val="both"/>
        <w:rPr>
          <w:rFonts w:ascii="Arial" w:hAnsi="Arial" w:cs="Arial"/>
        </w:rPr>
      </w:pPr>
      <w:r>
        <w:rPr>
          <w:rFonts w:cs="Arial" w:ascii="Arial" w:hAnsi="Arial"/>
        </w:rPr>
      </w:r>
    </w:p>
    <w:p>
      <w:pPr>
        <w:pStyle w:val="BodyText"/>
        <w:rPr/>
      </w:pPr>
      <w:r>
        <w:rPr/>
        <w:tab/>
      </w:r>
    </w:p>
    <w:p>
      <w:pPr>
        <w:pStyle w:val="Normal"/>
        <w:jc w:val="both"/>
        <w:rPr>
          <w:rFonts w:ascii="Arial" w:hAnsi="Arial" w:cs="Arial"/>
        </w:rPr>
      </w:pPr>
      <w:r>
        <w:rPr>
          <w:rFonts w:cs="Arial" w:ascii="Arial" w:hAnsi="Arial"/>
        </w:rPr>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w:t>
        <w:tab/>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t xml:space="preserve">El Paso Natural Gas Company </w:t>
      </w:r>
    </w:p>
    <w:p>
      <w:pPr>
        <w:pStyle w:val="Heading1"/>
        <w:jc w:val="center"/>
        <w:rPr>
          <w:rFonts w:ascii="Arial" w:hAnsi="Arial" w:cs="Arial"/>
          <w:b/>
          <w:bCs/>
          <w:u w:val="single"/>
        </w:rPr>
      </w:pPr>
      <w:r>
        <w:rPr>
          <w:rFonts w:cs="Arial"/>
          <w:b/>
          <w:bCs/>
          <w:u w:val="single"/>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Heading"/>
        <w:rPr>
          <w:b w:val="false"/>
          <w:bCs/>
        </w:rPr>
      </w:pPr>
      <w:r>
        <w:rPr>
          <w:rFonts w:cs="Arial" w:ascii="Arial" w:hAnsi="Arial"/>
          <w:b w:val="false"/>
          <w:bCs/>
          <w:u w:val="single"/>
        </w:rPr>
        <w:t>Requests of Southern California Gas Company</w:t>
      </w:r>
    </w:p>
    <w:p>
      <w:pPr>
        <w:pStyle w:val="Normal"/>
        <w:jc w:val="center"/>
        <w:rPr>
          <w:rFonts w:ascii="Arial" w:hAnsi="Arial" w:cs="Arial"/>
        </w:rPr>
      </w:pPr>
      <w:r>
        <w:rPr>
          <w:rFonts w:cs="Arial" w:ascii="Arial" w:hAnsi="Arial"/>
        </w:rPr>
        <w:t>(September 24, 2001)</w:t>
      </w:r>
    </w:p>
    <w:p>
      <w:pPr>
        <w:pStyle w:val="Header"/>
        <w:tabs>
          <w:tab w:val="clear" w:pos="4320"/>
          <w:tab w:val="clear" w:pos="8640"/>
        </w:tabs>
        <w:jc w:val="center"/>
        <w:rPr/>
      </w:pPr>
      <w:r>
        <w:rPr/>
      </w:r>
    </w:p>
    <w:p>
      <w:pPr>
        <w:pStyle w:val="Normal"/>
        <w:jc w:val="both"/>
        <w:rPr/>
      </w:pPr>
      <w:r>
        <w:rPr>
          <w:rFonts w:cs="Arial" w:ascii="Arial" w:hAnsi="Arial"/>
          <w:u w:val="single"/>
        </w:rPr>
        <w:t>Request No. 1</w:t>
      </w:r>
      <w:r>
        <w:rPr>
          <w:rFonts w:cs="Arial" w:ascii="Arial" w:hAnsi="Arial"/>
        </w:rPr>
        <w:t>:</w:t>
        <w:tab/>
        <w:t xml:space="preserve">Please refer to the El Paso March 27, 2001 filing, page 5, “Contract Allocation and Tariff Modifications.”  In this provision, El Paso proposes a special priority for full requirements (“FR”) shippers using “alternate receipt rights and primary delivery rights” over contract demand (“CD”) shippers. </w:t>
      </w:r>
    </w:p>
    <w:p>
      <w:pPr>
        <w:pStyle w:val="Header"/>
        <w:tabs>
          <w:tab w:val="clear" w:pos="4320"/>
          <w:tab w:val="clear" w:pos="8640"/>
        </w:tabs>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Explain in detail all reasons, system operations or contractual, which El Paso believes support such a priority.  </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Cite all orders, rules or regulations which El Paso believes support this priority as consistent with Commission policy.  </w:t>
      </w:r>
    </w:p>
    <w:p>
      <w:pPr>
        <w:pStyle w:val="Normal"/>
        <w:rPr>
          <w:rFonts w:ascii="Arial" w:hAnsi="Arial" w:cs="Arial"/>
        </w:rPr>
      </w:pPr>
      <w:r>
        <w:rPr>
          <w:rFonts w:cs="Arial" w:ascii="Arial" w:hAnsi="Arial"/>
        </w:rPr>
      </w:r>
    </w:p>
    <w:p>
      <w:pPr>
        <w:pStyle w:val="Normal"/>
        <w:rPr/>
      </w:pPr>
      <w:r>
        <w:rPr/>
      </w:r>
    </w:p>
    <w:p>
      <w:pPr>
        <w:pStyle w:val="Normal"/>
        <w:jc w:val="both"/>
        <w:rPr/>
      </w:pPr>
      <w:r>
        <w:rPr>
          <w:rFonts w:cs="Arial" w:ascii="Arial" w:hAnsi="Arial"/>
          <w:u w:val="single"/>
        </w:rPr>
        <w:t>Response No. 1</w:t>
      </w:r>
      <w:r>
        <w:rPr/>
        <w:t>:</w:t>
        <w:tab/>
      </w:r>
      <w:r>
        <w:rPr>
          <w:rFonts w:cs="Arial" w:ascii="Arial" w:hAnsi="Arial"/>
        </w:rPr>
        <w:t>El Paso proposed to allocate the primary receipt rights for full requirements ("FR") customers based on their billing determinants.  In order to lessen the impact on FR shippers of the move to defined primary receipt rights based on billing determinants, El Paso proposed to schedule FR shippers alternate ahead of contract demand alternate because billing determinants do not necessarily reflect such shipper's full requirements.  El Paso did not search for Commission precedents for this proposal.</w:t>
      </w: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rPr/>
      </w:pPr>
      <w:r>
        <w:rPr/>
      </w:r>
    </w:p>
    <w:p>
      <w:pPr>
        <w:pStyle w:val="Normal"/>
        <w:jc w:val="center"/>
        <w:rPr>
          <w:rFonts w:ascii="Arial" w:hAnsi="Arial" w:cs="Arial"/>
          <w:u w:val="single"/>
        </w:rPr>
      </w:pPr>
      <w:r>
        <w:rPr>
          <w:rFonts w:cs="Arial" w:ascii="Arial" w:hAnsi="Arial"/>
          <w:u w:val="single"/>
        </w:rPr>
        <w:t xml:space="preserve">El Paso Natural Gas Company </w:t>
      </w:r>
    </w:p>
    <w:p>
      <w:pPr>
        <w:pStyle w:val="Heading1"/>
        <w:jc w:val="center"/>
        <w:rPr>
          <w:rFonts w:ascii="Arial" w:hAnsi="Arial" w:cs="Arial"/>
          <w:b/>
          <w:bCs/>
          <w:u w:val="single"/>
        </w:rPr>
      </w:pPr>
      <w:r>
        <w:rPr>
          <w:rFonts w:cs="Arial"/>
          <w:b/>
          <w:bCs/>
          <w:u w:val="single"/>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Heading2"/>
        <w:ind w:hanging="0" w:start="0"/>
        <w:rPr/>
      </w:pPr>
      <w:r>
        <w:rPr/>
        <w:t>Requests of Southern California Gas Company</w:t>
      </w:r>
    </w:p>
    <w:p>
      <w:pPr>
        <w:pStyle w:val="Normal"/>
        <w:jc w:val="center"/>
        <w:rPr>
          <w:rFonts w:ascii="Arial" w:hAnsi="Arial" w:cs="Arial"/>
        </w:rPr>
      </w:pPr>
      <w:r>
        <w:rPr>
          <w:rFonts w:cs="Arial" w:ascii="Arial" w:hAnsi="Arial"/>
        </w:rPr>
        <w:t>(September 24, 2001)</w:t>
      </w:r>
    </w:p>
    <w:p>
      <w:pPr>
        <w:pStyle w:val="Normal"/>
        <w:jc w:val="center"/>
        <w:rPr>
          <w:rFonts w:ascii="Arial" w:hAnsi="Arial" w:cs="Arial"/>
        </w:rPr>
      </w:pPr>
      <w:r>
        <w:rPr>
          <w:rFonts w:cs="Arial" w:ascii="Arial" w:hAnsi="Arial"/>
        </w:rPr>
      </w:r>
    </w:p>
    <w:p>
      <w:pPr>
        <w:pStyle w:val="Normal"/>
        <w:jc w:val="both"/>
        <w:rPr/>
      </w:pPr>
      <w:r>
        <w:rPr>
          <w:rFonts w:cs="Arial" w:ascii="Arial" w:hAnsi="Arial"/>
          <w:u w:val="single"/>
        </w:rPr>
        <w:t>Request No. 2</w:t>
      </w:r>
      <w:r>
        <w:rPr>
          <w:rFonts w:cs="Arial" w:ascii="Arial" w:hAnsi="Arial"/>
        </w:rPr>
        <w:t>:</w:t>
        <w:tab/>
        <w:t>Assuming that in this proceeding Southern California Gas Company (“SoCalGas”) is given a specific primary right to natural gas divided by producing basin and, possibly pools, to be delivered to its now four delivery points (three of which are the formerly aggregated “Topock” points), please clarify: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Whether El Paso would allow SoCalGas a one-time opportunity to nominate more, less, or all of SoCalGas’s San Juan Basin primary receipt allocation for delivery at one Topock point and all other supplies to the other two Topock points.  In other words, can SoCalGas apportion its primary receipt rights to San Juan Basin Gas among its three Topock points as part of the process proposed by El Paso?  If not, please specify in detail, any and all operational reasons why this could not be accommodated. </w:t>
      </w:r>
    </w:p>
    <w:p>
      <w:pPr>
        <w:pStyle w:val="Normal"/>
        <w:rPr>
          <w:rFonts w:ascii="Arial" w:hAnsi="Arial" w:cs="Arial"/>
        </w:rPr>
      </w:pPr>
      <w:r>
        <w:rPr>
          <w:rFonts w:cs="Arial" w:ascii="Arial" w:hAnsi="Arial"/>
        </w:rPr>
      </w:r>
    </w:p>
    <w:p>
      <w:pPr>
        <w:pStyle w:val="Header"/>
        <w:tabs>
          <w:tab w:val="clear" w:pos="4320"/>
          <w:tab w:val="clear" w:pos="8640"/>
        </w:tabs>
        <w:rPr/>
      </w:pPr>
      <w:r>
        <w:rPr/>
      </w:r>
    </w:p>
    <w:p>
      <w:pPr>
        <w:pStyle w:val="Header"/>
        <w:tabs>
          <w:tab w:val="clear" w:pos="4320"/>
          <w:tab w:val="clear" w:pos="8640"/>
        </w:tabs>
        <w:jc w:val="both"/>
        <w:rPr/>
      </w:pPr>
      <w:r>
        <w:rPr>
          <w:rFonts w:cs="Arial" w:ascii="Arial" w:hAnsi="Arial"/>
          <w:u w:val="single"/>
        </w:rPr>
        <w:t>Response No. 2</w:t>
      </w:r>
      <w:r>
        <w:rPr/>
        <w:t>:</w:t>
        <w:tab/>
      </w:r>
      <w:r>
        <w:rPr>
          <w:rFonts w:cs="Arial" w:ascii="Arial" w:hAnsi="Arial"/>
        </w:rPr>
        <w:t xml:space="preserve">The aim of El Paso’s proposed process is to give the shippers an opportunity to tailor their receipt rights to their needs and to minimize future occurrences of mainline capacity allocations.  As such, the current proposal would allow SoCalGas to specify which receipt rights it would prefer to hold for each of its delivery points within boundaries set based on system capacity limitations and the rights of other shippers.  Given that each of SoCalGas' delivery points is covered by a separate accounting identifier, SoCalGas should be able to achieve its stated objective during the proposed process.  </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 xml:space="preserve">To the extent that SoCalGas or any other shipper holding two contracts, both of which have a similar impact on system capacity allocations, wanted to move receipt rights between them at the conclusion of the proposed allocation process, El Paso would consider allowing a one-time swap. </w:t>
      </w:r>
    </w:p>
    <w:p>
      <w:pPr>
        <w:pStyle w:val="Header"/>
        <w:tabs>
          <w:tab w:val="clear" w:pos="4320"/>
          <w:tab w:val="clear" w:pos="8640"/>
        </w:tabs>
        <w:rPr/>
      </w:pPr>
      <w:r>
        <w:rPr/>
      </w:r>
    </w:p>
    <w:p>
      <w:pPr>
        <w:pStyle w:val="Normal"/>
        <w:rPr>
          <w:u w:val="single"/>
        </w:rPr>
      </w:pPr>
      <w:r>
        <w:rPr>
          <w:u w:val="single"/>
        </w:rPr>
      </w:r>
    </w:p>
    <w:p>
      <w:pPr>
        <w:pStyle w:val="Header"/>
        <w:tabs>
          <w:tab w:val="clear" w:pos="4320"/>
          <w:tab w:val="clear" w:pos="8640"/>
        </w:tabs>
        <w:rPr>
          <w:u w:val="single"/>
        </w:rPr>
      </w:pPr>
      <w:r>
        <w:rPr>
          <w:u w:val="single"/>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pStyle w:val="Header"/>
        <w:tabs>
          <w:tab w:val="clear" w:pos="4320"/>
          <w:tab w:val="clear" w:pos="8640"/>
        </w:tabs>
        <w:rPr/>
      </w:pPr>
      <w:r>
        <w:rPr/>
      </w:r>
    </w:p>
    <w:p>
      <w:pPr>
        <w:pStyle w:val="Normal"/>
        <w:jc w:val="center"/>
        <w:rPr>
          <w:rFonts w:ascii="Arial" w:hAnsi="Arial" w:cs="Arial"/>
          <w:u w:val="single"/>
        </w:rPr>
      </w:pPr>
      <w:r>
        <w:rPr>
          <w:rFonts w:cs="Arial" w:ascii="Arial" w:hAnsi="Arial"/>
          <w:u w:val="single"/>
        </w:rPr>
        <w:t xml:space="preserve">El Paso Natural Gas Company </w:t>
      </w:r>
    </w:p>
    <w:p>
      <w:pPr>
        <w:pStyle w:val="Heading1"/>
        <w:jc w:val="center"/>
        <w:rPr>
          <w:rFonts w:ascii="Arial" w:hAnsi="Arial" w:cs="Arial"/>
          <w:b/>
          <w:bCs/>
          <w:u w:val="single"/>
        </w:rPr>
      </w:pPr>
      <w:r>
        <w:rPr>
          <w:rFonts w:cs="Arial"/>
          <w:b/>
          <w:bCs/>
          <w:u w:val="single"/>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Header"/>
        <w:tabs>
          <w:tab w:val="clear" w:pos="4320"/>
          <w:tab w:val="clear" w:pos="8640"/>
        </w:tabs>
        <w:jc w:val="center"/>
        <w:rPr>
          <w:rFonts w:ascii="Arial" w:hAnsi="Arial" w:cs="Arial"/>
          <w:u w:val="single"/>
        </w:rPr>
      </w:pPr>
      <w:r>
        <w:rPr>
          <w:rFonts w:cs="Arial" w:ascii="Arial" w:hAnsi="Arial"/>
          <w:u w:val="single"/>
        </w:rPr>
        <w:t>Requests of Southern California Gas Company</w:t>
      </w:r>
    </w:p>
    <w:p>
      <w:pPr>
        <w:pStyle w:val="Normal"/>
        <w:jc w:val="center"/>
        <w:rPr>
          <w:rFonts w:ascii="Arial" w:hAnsi="Arial" w:cs="Arial"/>
        </w:rPr>
      </w:pPr>
      <w:r>
        <w:rPr>
          <w:rFonts w:cs="Arial" w:ascii="Arial" w:hAnsi="Arial"/>
        </w:rPr>
        <w:t>(September 24, 2001)</w:t>
      </w:r>
    </w:p>
    <w:p>
      <w:pPr>
        <w:pStyle w:val="Normal"/>
        <w:jc w:val="center"/>
        <w:rPr/>
      </w:pPr>
      <w:r>
        <w:rPr/>
      </w:r>
    </w:p>
    <w:p>
      <w:pPr>
        <w:pStyle w:val="BodyTextIndent"/>
        <w:ind w:hanging="0" w:end="0"/>
        <w:jc w:val="both"/>
        <w:rPr/>
      </w:pPr>
      <w:r>
        <w:rPr>
          <w:rFonts w:cs="Arial" w:ascii="Arial" w:hAnsi="Arial"/>
          <w:u w:val="single"/>
        </w:rPr>
        <w:t>Request No. 4</w:t>
      </w:r>
      <w:r>
        <w:rPr>
          <w:rFonts w:cs="Arial" w:ascii="Arial" w:hAnsi="Arial"/>
        </w:rPr>
        <w:t>:</w:t>
        <w:tab/>
        <w:t>With regard to the “Proposed Pooling Areas with Design Limit and Maximum Scheduled Quantity” referenced in Answer 4 to FERC Staff questions served on August 22, 2001, for each of the “141” identified points, please provide the average monthly quantity scheduled as receipt at such point for each month since January 1, 1996.</w:t>
      </w:r>
    </w:p>
    <w:p>
      <w:pPr>
        <w:pStyle w:val="Header"/>
        <w:tabs>
          <w:tab w:val="clear" w:pos="4320"/>
          <w:tab w:val="clear" w:pos="8640"/>
        </w:tabs>
        <w:rPr>
          <w:rFonts w:ascii="Arial" w:hAnsi="Arial" w:cs="Arial"/>
        </w:rPr>
      </w:pPr>
      <w:r>
        <w:rPr>
          <w:rFonts w:cs="Arial" w:ascii="Arial" w:hAnsi="Arial"/>
        </w:rPr>
      </w:r>
    </w:p>
    <w:p>
      <w:pPr>
        <w:pStyle w:val="Normal"/>
        <w:rPr/>
      </w:pPr>
      <w:r>
        <w:rPr/>
      </w:r>
    </w:p>
    <w:p>
      <w:pPr>
        <w:pStyle w:val="Normal"/>
        <w:jc w:val="both"/>
        <w:rPr/>
      </w:pPr>
      <w:r>
        <w:rPr>
          <w:rFonts w:cs="Arial" w:ascii="Arial" w:hAnsi="Arial"/>
          <w:u w:val="single"/>
        </w:rPr>
        <w:t>Response No. 4</w:t>
      </w:r>
      <w:r>
        <w:rPr/>
        <w:t>:</w:t>
        <w:tab/>
      </w:r>
      <w:r>
        <w:rPr>
          <w:rFonts w:cs="Arial" w:ascii="Arial" w:hAnsi="Arial"/>
        </w:rPr>
        <w:t xml:space="preserve">See El Paso's response to Enron North America Corp.’s Request No. 1 for the period January through August 2001.  Providing this data for a six year period would be unduly burdensome.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footerReference w:type="default" r:id="rId6"/>
      <w:footerReference w:type="first" r:id="rId7"/>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0320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20320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6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spacing w:val="4"/>
      <w:kern w:val="2"/>
      <w:szCs w:val="20"/>
      <w:u w:val="single"/>
      <w:vertAlign w:val="superscript"/>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pacing w:val="4"/>
      <w:kern w:val="2"/>
      <w:szCs w:val="20"/>
      <w:vertAlign w:val="superscript"/>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pacing w:val="4"/>
      <w:kern w:val="2"/>
      <w:szCs w:val="20"/>
      <w:vertAlign w:val="superscript"/>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pacing w:val="4"/>
      <w:kern w:val="2"/>
      <w:szCs w:val="20"/>
      <w:vertAlign w:val="superscript"/>
    </w:rPr>
  </w:style>
  <w:style w:type="paragraph" w:styleId="Footer">
    <w:name w:val="footer"/>
    <w:basedOn w:val="Normal"/>
    <w:pPr>
      <w:tabs>
        <w:tab w:val="clear" w:pos="720"/>
        <w:tab w:val="center" w:pos="4320" w:leader="none"/>
        <w:tab w:val="right" w:pos="8640" w:leader="none"/>
      </w:tabs>
    </w:pPr>
    <w:rPr>
      <w:spacing w:val="4"/>
      <w:kern w:val="2"/>
      <w:szCs w:val="20"/>
      <w:vertAlign w:val="superscript"/>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El Paso Energy Corp</cp:lastModifiedBy>
  <cp:lastPrinted>2001-05-11T15:28:00Z</cp:lastPrinted>
  <dcterms:modified xsi:type="dcterms:W3CDTF">2001-09-24T21:42:00Z</dcterms:modified>
  <cp:revision>31</cp:revision>
  <dc:subject/>
  <dc:title/>
</cp:coreProperties>
</file>