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UNITED STATES OF AMERICA</w:t>
      </w:r>
    </w:p>
    <w:p>
      <w:pPr>
        <w:pStyle w:val="Normal"/>
        <w:widowControl/>
        <w:jc w:val="center"/>
        <w:rPr>
          <w:b/>
          <w:bCs/>
        </w:rPr>
      </w:pPr>
      <w:r>
        <w:rPr>
          <w:b/>
          <w:bCs/>
        </w:rPr>
        <w:t>BEFORE THE</w:t>
      </w:r>
    </w:p>
    <w:p>
      <w:pPr>
        <w:pStyle w:val="Normal"/>
        <w:widowControl/>
        <w:jc w:val="center"/>
        <w:rPr>
          <w:b/>
          <w:bCs/>
        </w:rPr>
      </w:pPr>
      <w:r>
        <w:rPr>
          <w:b/>
          <w:bCs/>
        </w:rPr>
        <w:t>FEDERAL ENERGY REGULATORY COMMISSION</w:t>
      </w:r>
    </w:p>
    <w:p>
      <w:pPr>
        <w:pStyle w:val="Normal"/>
        <w:widowControl/>
        <w:jc w:val="center"/>
        <w:rPr>
          <w:b/>
          <w:bCs/>
        </w:rPr>
      </w:pPr>
      <w:r>
        <w:rPr>
          <w:b/>
          <w:bCs/>
        </w:rPr>
      </w:r>
    </w:p>
    <w:p>
      <w:pPr>
        <w:pStyle w:val="Normal"/>
        <w:widowControl/>
        <w:jc w:val="center"/>
        <w:rPr>
          <w:b/>
          <w:bCs/>
        </w:rPr>
      </w:pPr>
      <w:r>
        <w:rPr>
          <w:b/>
          <w:bCs/>
        </w:rPr>
      </w:r>
    </w:p>
    <w:p>
      <w:pPr>
        <w:pStyle w:val="Heading1"/>
        <w:widowControl/>
        <w:ind w:hanging="0" w:start="0"/>
        <w:rPr/>
      </w:pPr>
      <w:r>
        <w:rPr/>
        <w:t>San Diego Gas &amp; Electric Company</w:t>
        <w:tab/>
        <w:tab/>
        <w:t>)</w:t>
        <w:tab/>
        <w:t>Docket No. RP01-180-000</w:t>
      </w:r>
    </w:p>
    <w:p>
      <w:pPr>
        <w:pStyle w:val="Normal"/>
        <w:widowControl/>
        <w:rPr>
          <w:b/>
          <w:bCs/>
        </w:rPr>
      </w:pPr>
      <w:r>
        <w:rPr>
          <w:b/>
          <w:bCs/>
        </w:rPr>
      </w:r>
    </w:p>
    <w:p>
      <w:pPr>
        <w:pStyle w:val="Normal"/>
        <w:widowControl/>
        <w:rPr>
          <w:b/>
          <w:bCs/>
        </w:rPr>
      </w:pPr>
      <w:r>
        <w:rPr>
          <w:b/>
          <w:bCs/>
        </w:rPr>
      </w:r>
    </w:p>
    <w:p>
      <w:pPr>
        <w:pStyle w:val="Heading2"/>
        <w:widowControl/>
        <w:ind w:hanging="0" w:start="0"/>
        <w:rPr/>
      </w:pPr>
      <w:r>
        <w:rPr/>
        <w:t>MOTION OF</w:t>
      </w:r>
    </w:p>
    <w:p>
      <w:pPr>
        <w:pStyle w:val="Heading2"/>
        <w:widowControl/>
        <w:ind w:hanging="0" w:start="0"/>
        <w:rPr/>
      </w:pPr>
      <w:r>
        <w:rPr/>
        <w:t xml:space="preserve">SOUTHERN CALIFORNIA GAS COMPANY </w:t>
      </w:r>
    </w:p>
    <w:p>
      <w:pPr>
        <w:pStyle w:val="Normal"/>
        <w:widowControl/>
        <w:jc w:val="center"/>
        <w:rPr>
          <w:b/>
          <w:bCs/>
        </w:rPr>
      </w:pPr>
      <w:r>
        <w:rPr>
          <w:b/>
          <w:bCs/>
        </w:rPr>
        <w:t>TO INTERVENE</w:t>
      </w:r>
    </w:p>
    <w:p>
      <w:pPr>
        <w:pStyle w:val="Normal"/>
        <w:widowControl/>
        <w:rPr>
          <w:b/>
          <w:bCs/>
        </w:rPr>
      </w:pPr>
      <w:r>
        <w:rPr>
          <w:b/>
          <w:bCs/>
        </w:rPr>
      </w:r>
    </w:p>
    <w:p>
      <w:pPr>
        <w:pStyle w:val="BodyText"/>
        <w:widowControl/>
        <w:jc w:val="start"/>
        <w:rPr/>
      </w:pPr>
      <w:r>
        <w:rPr/>
        <w:tab/>
        <w:t>Pursuant to Rule 214 of the Federal Energy Regulatory Commission’s (Commission) Rules of Practice and Procedure, 18 C.F.R. §385.214, Southern California Gas Company (SoCalGas) moves to intervene in the above-docketed proceeding in which San Diego Gas &amp; Electric Company (“SDG&amp;E”) has requested emergency relief related to price caps for short-term releases of pipeline capacity for service to points of interconnection between interstate pipelines and California local distribution companies, and related matters.  In support hereof, SoCalGas states as follows:</w:t>
      </w:r>
    </w:p>
    <w:p>
      <w:pPr>
        <w:pStyle w:val="Normal"/>
        <w:widowControl/>
        <w:spacing w:lineRule="auto" w:line="480"/>
        <w:jc w:val="center"/>
        <w:rPr>
          <w:b/>
          <w:bCs/>
        </w:rPr>
      </w:pPr>
      <w:r>
        <w:rPr>
          <w:b/>
          <w:bCs/>
        </w:rPr>
        <w:t>I.</w:t>
      </w:r>
    </w:p>
    <w:p>
      <w:pPr>
        <w:pStyle w:val="Normal"/>
        <w:widowControl/>
        <w:spacing w:lineRule="auto" w:line="480"/>
        <w:rPr/>
      </w:pPr>
      <w:r>
        <w:rPr/>
        <w:tab/>
        <w:t>All correspondence and communication in connection with this proceeding should be addressed to the following:</w:t>
      </w:r>
    </w:p>
    <w:p>
      <w:pPr>
        <w:pStyle w:val="Normal"/>
        <w:widowControl/>
        <w:spacing w:lineRule="auto" w:line="480"/>
        <w:rPr/>
      </w:pPr>
      <w:r>
        <w:rPr/>
      </w:r>
    </w:p>
    <w:p>
      <w:pPr>
        <w:pStyle w:val="Normal"/>
        <w:widowControl/>
        <w:spacing w:lineRule="auto" w:line="480"/>
        <w:rPr/>
      </w:pPr>
      <w:r>
        <w:rPr/>
      </w:r>
    </w:p>
    <w:p>
      <w:pPr>
        <w:pStyle w:val="Normal"/>
        <w:widowControl/>
        <w:rPr/>
      </w:pPr>
      <w:r>
        <w:rPr/>
        <w:tab/>
        <w:tab/>
        <w:tab/>
        <w:t>June Suwara, Case Manager</w:t>
      </w:r>
    </w:p>
    <w:p>
      <w:pPr>
        <w:pStyle w:val="Normal"/>
        <w:widowControl/>
        <w:rPr/>
      </w:pPr>
      <w:r>
        <w:rPr/>
        <w:tab/>
        <w:tab/>
        <w:tab/>
        <w:t>Southern California Gas Company, GT14D6</w:t>
      </w:r>
    </w:p>
    <w:p>
      <w:pPr>
        <w:pStyle w:val="Normal"/>
        <w:widowControl/>
        <w:rPr/>
      </w:pPr>
      <w:r>
        <w:rPr/>
        <w:tab/>
        <w:tab/>
        <w:tab/>
        <w:t>555 West 5</w:t>
      </w:r>
      <w:r>
        <w:rPr>
          <w:vertAlign w:val="superscript"/>
        </w:rPr>
        <w:t>th</w:t>
      </w:r>
      <w:r>
        <w:rPr/>
        <w:t xml:space="preserve"> Street</w:t>
      </w:r>
    </w:p>
    <w:p>
      <w:pPr>
        <w:pStyle w:val="Normal"/>
        <w:widowControl/>
        <w:rPr/>
      </w:pPr>
      <w:r>
        <w:rPr/>
        <w:tab/>
        <w:tab/>
        <w:tab/>
        <w:t>Los Angeles, CA 90013-1011</w:t>
      </w:r>
    </w:p>
    <w:p>
      <w:pPr>
        <w:pStyle w:val="Normal"/>
        <w:widowControl/>
        <w:rPr/>
      </w:pPr>
      <w:r>
        <w:rPr/>
      </w:r>
    </w:p>
    <w:p>
      <w:pPr>
        <w:pStyle w:val="Normal"/>
        <w:widowControl/>
        <w:rPr/>
      </w:pPr>
      <w:r>
        <w:rPr/>
        <w:tab/>
        <w:tab/>
        <w:tab/>
        <w:t>Glen J. Sullivan, Esq.</w:t>
      </w:r>
    </w:p>
    <w:p>
      <w:pPr>
        <w:pStyle w:val="Normal"/>
        <w:widowControl/>
        <w:rPr/>
      </w:pPr>
      <w:r>
        <w:rPr/>
        <w:tab/>
        <w:tab/>
        <w:tab/>
        <w:t>Sempra Energy, HQ-13</w:t>
      </w:r>
    </w:p>
    <w:p>
      <w:pPr>
        <w:pStyle w:val="Normal"/>
        <w:widowControl/>
        <w:rPr/>
      </w:pPr>
      <w:r>
        <w:rPr/>
        <w:tab/>
        <w:tab/>
        <w:tab/>
        <w:t>101 Ash Street</w:t>
      </w:r>
    </w:p>
    <w:p>
      <w:pPr>
        <w:pStyle w:val="Normal"/>
        <w:widowControl/>
        <w:rPr/>
      </w:pPr>
      <w:r>
        <w:rPr/>
        <w:tab/>
        <w:tab/>
        <w:tab/>
        <w:t>San Diego, CA 92101-3017</w:t>
      </w:r>
    </w:p>
    <w:p>
      <w:pPr>
        <w:pStyle w:val="Normal"/>
        <w:widowControl/>
        <w:rPr/>
      </w:pPr>
      <w:r>
        <w:rPr/>
      </w:r>
    </w:p>
    <w:p>
      <w:pPr>
        <w:pStyle w:val="Normal"/>
        <w:widowControl/>
        <w:spacing w:lineRule="auto" w:line="480"/>
        <w:jc w:val="center"/>
        <w:rPr>
          <w:b/>
          <w:bCs/>
        </w:rPr>
      </w:pPr>
      <w:r>
        <w:rPr>
          <w:b/>
          <w:bCs/>
        </w:rPr>
        <w:t>II.</w:t>
      </w:r>
    </w:p>
    <w:p>
      <w:pPr>
        <w:pStyle w:val="Normal"/>
        <w:widowControl/>
        <w:spacing w:lineRule="auto" w:line="480"/>
        <w:rPr/>
      </w:pPr>
      <w:r>
        <w:rPr/>
        <w:tab/>
        <w:t>SoCalGas is a corporation organized and existing under the laws of the State of California.  Its principal office is located a 555 West 5</w:t>
      </w:r>
      <w:r>
        <w:rPr>
          <w:vertAlign w:val="superscript"/>
        </w:rPr>
        <w:t>th</w:t>
      </w:r>
      <w:r>
        <w:rPr/>
        <w:t xml:space="preserve"> Street, Los Angeles, California </w:t>
      </w:r>
    </w:p>
    <w:p>
      <w:pPr>
        <w:pStyle w:val="Normal"/>
        <w:widowControl/>
        <w:spacing w:lineRule="auto" w:line="480"/>
        <w:rPr/>
      </w:pPr>
      <w:r>
        <w:rPr/>
        <w:t>90013-1011.  SoCalGas purchases, distributes, sells and transports natural gas in the southern and central parts of the State of California where it serves approximately 5 million customers in an area with a population of approximately 18 million people, not including the customers and population of the portion of California provided gas service by SDG&amp;E.  SoCalGas is a local distribution company subject to the jurisdiction of the Public Utilities Commission of the State of California (“CPUC”) and is exempt from the jurisdiction of this Commission by virtue of the Hinshaw Amendment.  SoCalGas provides wholesale service to SDG&amp;E.  SoCalGas is a subsidiary of Sempra Energy and is an affiliate of SDG&amp;E.</w:t>
      </w:r>
    </w:p>
    <w:p>
      <w:pPr>
        <w:pStyle w:val="BodyTextIndent"/>
        <w:widowControl/>
        <w:rPr/>
      </w:pPr>
      <w:r>
        <w:rPr/>
        <w:t>SoCalGas is one of the largest firm transportation shippers on El Paso Natural Gas Company and Transwestern Pipeline Company, interstate pipelines whose capacity is subject to the emergency relief sought by SDG&amp;E.  Furthermore, SoCalGas provides gas supply as well as transportation service to the substantial majority of its more than 5 million customers, including over 95% of the residential and small commercial/industrial market in its service territory.  Pursuant to procedures established by the CPUC, SoCalGas files rates for gas supply service to its customers on the last business day of each month for application to customers’ consumption in the following month that reflects SoCalGas’ estimate of the price it will pay for gas in that month, adjusted for estimated storage withdrawals/injections on SoCalGas’ system.  SoCalGas thus has a direct interest in this proceeding.  SoCalGas’ interest cannot be represented adequately by any other party or parties to this proceeding.  SoCalGas’ participation in this matter will be in the public interest.</w:t>
      </w:r>
    </w:p>
    <w:p>
      <w:pPr>
        <w:pStyle w:val="BodyTextIndent"/>
        <w:widowControl/>
        <w:rPr/>
      </w:pPr>
      <w:r>
        <w:rPr/>
      </w:r>
    </w:p>
    <w:p>
      <w:pPr>
        <w:pStyle w:val="Normal"/>
        <w:widowControl/>
        <w:spacing w:lineRule="auto" w:line="480"/>
        <w:jc w:val="center"/>
        <w:rPr>
          <w:b/>
          <w:bCs/>
        </w:rPr>
      </w:pPr>
      <w:r>
        <w:rPr>
          <w:b/>
          <w:bCs/>
        </w:rPr>
        <w:t>III.</w:t>
      </w:r>
    </w:p>
    <w:p>
      <w:pPr>
        <w:pStyle w:val="BodyTextIndent"/>
        <w:widowControl/>
        <w:rPr/>
      </w:pPr>
      <w:r>
        <w:rPr/>
        <w:tab/>
        <w:t>On December 7, 2000, SDG&amp;E filed a Request For Emergency Relief pursuant to Rule 207(a)(2) and (5).  The filing requested that the Commission issue an order:  (1) that price caps for short-term releases of capacity for service to the California border and to other points of interconnection between interstate pipelines and California local distribution companies be re-imposed effective immediately and kept in effect until March 31, 2001; and (2) that sellers of natural gas be required to state separately the transportation and commodity components of the bundled rate for bundled sales at these points so that the cap could be enforced on these transactions.  Alternatively, SDG&amp;E proposed that the cap could be enforced on such bundled sales through a mechanism that caps bundled sales at these points at 150% of the sum of a reported average commodity price plus the as-billed rate for interstate transportation.</w:t>
      </w:r>
    </w:p>
    <w:p>
      <w:pPr>
        <w:pStyle w:val="BodyTextIndent"/>
        <w:widowControl/>
        <w:rPr/>
      </w:pPr>
      <w:r>
        <w:rPr/>
      </w:r>
    </w:p>
    <w:p>
      <w:pPr>
        <w:pStyle w:val="Normal"/>
        <w:widowControl/>
        <w:spacing w:lineRule="auto" w:line="480"/>
        <w:jc w:val="center"/>
        <w:rPr>
          <w:b/>
          <w:bCs/>
        </w:rPr>
      </w:pPr>
      <w:r>
        <w:rPr>
          <w:b/>
          <w:bCs/>
        </w:rPr>
        <w:t>IV.</w:t>
      </w:r>
    </w:p>
    <w:p>
      <w:pPr>
        <w:pStyle w:val="Header"/>
        <w:widowControl/>
        <w:tabs>
          <w:tab w:val="clear" w:pos="4320"/>
          <w:tab w:val="clear" w:pos="8640"/>
        </w:tabs>
        <w:spacing w:lineRule="auto" w:line="480"/>
        <w:rPr/>
      </w:pPr>
      <w:r>
        <w:rPr/>
        <w:tab/>
        <w:t xml:space="preserve">SDG&amp;E’s December 7 filing documented significant distortions in the market for interstate pipeline capacity to California that were evident as of that filing.  Later developments document a worsening of the already severe conditions cited by SDG&amp;E.  </w:t>
      </w:r>
    </w:p>
    <w:p>
      <w:pPr>
        <w:pStyle w:val="Normal"/>
        <w:widowControl/>
        <w:spacing w:lineRule="auto" w:line="480"/>
        <w:ind w:firstLine="720" w:end="0"/>
        <w:rPr/>
      </w:pPr>
      <w:r>
        <w:rPr/>
        <w:t xml:space="preserve">Specifically, the December 11, 2000 </w:t>
      </w:r>
      <w:r>
        <w:rPr>
          <w:i/>
          <w:iCs/>
        </w:rPr>
        <w:t>Gas Daily,</w:t>
      </w:r>
      <w:r>
        <w:rPr/>
        <w:t xml:space="preserve"> Daily Price Survey, page 2, reported for "SoCalGas large pkgs" the midpoint of gas prices with transaction date of December 8 and flow dates of December 9-11 to be $54.655 (the absolute price reached as high as $61.01).  </w:t>
      </w:r>
      <w:r>
        <w:rPr>
          <w:i/>
          <w:iCs/>
        </w:rPr>
        <w:t xml:space="preserve">Gas Daily </w:t>
      </w:r>
      <w:r>
        <w:rPr/>
        <w:t>on</w:t>
      </w:r>
      <w:r>
        <w:rPr>
          <w:i/>
          <w:iCs/>
        </w:rPr>
        <w:t>,</w:t>
      </w:r>
      <w:r>
        <w:rPr/>
        <w:t xml:space="preserve"> December 12, 2000, reflected the midpoint for the transaction date of December 11 and flow date of December 12 to be $59.420 (the absolute price reached as high as $72.00).</w:t>
      </w:r>
    </w:p>
    <w:p>
      <w:pPr>
        <w:pStyle w:val="Normal"/>
        <w:widowControl/>
        <w:spacing w:lineRule="auto" w:line="480"/>
        <w:ind w:firstLine="720" w:end="0"/>
        <w:rPr/>
      </w:pPr>
      <w:r>
        <w:rPr/>
        <w:t>In addition, the Natural Gas Weekly Market Update, dated December 11, 2000 (published by the Energy Information Administration), discussed the volatile anomalies in the California energy market as follows:</w:t>
      </w:r>
    </w:p>
    <w:p>
      <w:pPr>
        <w:pStyle w:val="Normal"/>
        <w:widowControl/>
        <w:ind w:start="1440" w:end="0"/>
        <w:rPr/>
      </w:pPr>
      <w:r>
        <w:rPr/>
        <w:t xml:space="preserve">Prices in both cash and futures markets reached unprecedented levels last week, as spot prices as high as $61 per MMBtu were seen in southern California, and the NYMEX futures contract for January delivery edged above $9.50 in after-hours “Access” trading just before the opening of Thursday’s regular trading session on the NYMEX….Except in California and market locations serving that state, spot prices turned down on Thursday and Friday, influenced in part by moderating temperatures and by the American Gas Association’s (AGA) storage withdrawal estimate of 73 Bcf that was toward the lower end of the market’s expectations….Price volatility in the futures market was unprecedented, with trading in all contracts being suspended for an hour on both Monday and Thursday as price changes (up Monday, down Thursday) exceeded NYMEX limits….  </w:t>
      </w:r>
    </w:p>
    <w:p>
      <w:pPr>
        <w:pStyle w:val="Normal"/>
        <w:widowControl/>
        <w:rPr/>
      </w:pPr>
      <w:r>
        <w:rPr/>
        <w:tab/>
        <w:tab/>
      </w:r>
    </w:p>
    <w:p>
      <w:pPr>
        <w:pStyle w:val="Normal"/>
        <w:widowControl/>
        <w:ind w:start="1440" w:end="0"/>
        <w:rPr/>
      </w:pPr>
      <w:r>
        <w:rPr>
          <w:b/>
          <w:bCs/>
        </w:rPr>
        <w:t xml:space="preserve">Spot Prices: </w:t>
      </w:r>
      <w:r>
        <w:rPr/>
        <w:t xml:space="preserve"> In the first 3 days of the week, many markets across the country saw increases…. But California was in a league by itself:  price </w:t>
      </w:r>
      <w:r>
        <w:rPr>
          <w:i/>
          <w:iCs/>
        </w:rPr>
        <w:t xml:space="preserve">increases </w:t>
      </w:r>
      <w:r>
        <w:rPr/>
        <w:t xml:space="preserve">grew from a range of $3.11-$3.86 on Monday to an incredible $11.19-$17.16 on Friday, with some trades reported at prices of $61.01 and $61 per MMBtu, respectively, on Friday on SoCal and at PG&amp;E citygates.  Prices at Kingsgate and Sumas in Washington State-import points for Canadian gas bound mainly for California-spiked to $42.50 and $62.00 per MMBtu, respectively.  On Thursday, San Diego Gas &amp; Electric Co. filed a request with the Federal Energy Regulatory Commission for emergency price relief from the astronomical prices, asking for a price cap to be imposed through the end of March, 2001.  California continues to be plagued by extremely tight electricity markets, with an estimated 11,000 MW of generating capcity off-line….After a series of Stage 2 alerts, the state’s electrical-grid Independent System Operator instituted its first Stage 3 electrical emergency on Thursday….It is anticipated that California and the Pacific Northwest will remain at varying levels of alert status into the beginning of this week.  </w:t>
      </w:r>
    </w:p>
    <w:p>
      <w:pPr>
        <w:pStyle w:val="Normal"/>
        <w:widowControl/>
        <w:rPr>
          <w:b/>
          <w:bCs/>
        </w:rPr>
      </w:pPr>
      <w:r>
        <w:rPr>
          <w:b/>
          <w:bCs/>
        </w:rPr>
      </w:r>
    </w:p>
    <w:p>
      <w:pPr>
        <w:pStyle w:val="Header"/>
        <w:widowControl/>
        <w:tabs>
          <w:tab w:val="clear" w:pos="4320"/>
          <w:tab w:val="clear" w:pos="8640"/>
        </w:tabs>
        <w:spacing w:lineRule="auto" w:line="480"/>
        <w:rPr/>
      </w:pPr>
      <w:r>
        <w:rPr/>
        <w:t>It is clear, therefore, that there are significant pricing distortions in the California energy market that will continue unabated absent intervention by the Commission.</w:t>
      </w:r>
    </w:p>
    <w:p>
      <w:pPr>
        <w:pStyle w:val="Header"/>
        <w:widowControl/>
        <w:tabs>
          <w:tab w:val="clear" w:pos="4320"/>
          <w:tab w:val="clear" w:pos="8640"/>
        </w:tabs>
        <w:spacing w:lineRule="auto" w:line="480"/>
        <w:rPr/>
      </w:pPr>
      <w:r>
        <w:rPr/>
        <w:tab/>
        <w:t>SoCalGas supports the request for emergency relief requested by SDG&amp;E.  The 18 million gas consumers behind SoCalGas’ 5 million meters will be directly and imminently harmed if the Commission does not take action to protect them from unjust and unreasonable prices for capacity subject to the jurisdiction of this Commission.</w:t>
      </w:r>
    </w:p>
    <w:p>
      <w:pPr>
        <w:pStyle w:val="Normal"/>
        <w:widowControl/>
        <w:spacing w:lineRule="auto" w:line="480"/>
        <w:jc w:val="center"/>
        <w:rPr>
          <w:b/>
          <w:bCs/>
        </w:rPr>
      </w:pPr>
      <w:r>
        <w:rPr>
          <w:b/>
          <w:bCs/>
        </w:rPr>
      </w:r>
    </w:p>
    <w:p>
      <w:pPr>
        <w:pStyle w:val="Normal"/>
        <w:widowControl/>
        <w:spacing w:lineRule="auto" w:line="480"/>
        <w:jc w:val="center"/>
        <w:rPr>
          <w:b/>
          <w:bCs/>
        </w:rPr>
      </w:pPr>
      <w:r>
        <w:rPr>
          <w:b/>
          <w:bCs/>
        </w:rPr>
        <w:t>V.</w:t>
      </w:r>
    </w:p>
    <w:p>
      <w:pPr>
        <w:pStyle w:val="Normal"/>
        <w:widowControl/>
        <w:spacing w:lineRule="auto" w:line="480"/>
        <w:ind w:firstLine="720" w:end="0"/>
        <w:rPr/>
      </w:pPr>
      <w:r>
        <w:rPr/>
        <w:t>WHEREFORE, in view of the foregoing, SoCalGas requests the Commission to grant SoCalGas’ motion to intervene with the full rights of a party in this proceeding, and to grant the emergency relief requested by SDG&amp;E.</w:t>
      </w:r>
    </w:p>
    <w:p>
      <w:pPr>
        <w:pStyle w:val="Normal"/>
        <w:widowControl/>
        <w:spacing w:lineRule="auto" w:line="480"/>
        <w:ind w:firstLine="720" w:end="0"/>
        <w:rPr/>
      </w:pPr>
      <w:r>
        <w:rPr/>
      </w:r>
    </w:p>
    <w:p>
      <w:pPr>
        <w:pStyle w:val="Normal"/>
        <w:widowControl/>
        <w:ind w:firstLine="720" w:end="0"/>
        <w:rPr/>
      </w:pPr>
      <w:r>
        <w:rPr/>
        <w:tab/>
        <w:tab/>
        <w:tab/>
        <w:tab/>
        <w:tab/>
        <w:t>Respectfully submitted,</w:t>
        <w:tab/>
      </w:r>
    </w:p>
    <w:p>
      <w:pPr>
        <w:pStyle w:val="Normal"/>
        <w:widowControl/>
        <w:ind w:firstLine="720" w:end="0"/>
        <w:rPr/>
      </w:pPr>
      <w:r>
        <w:rPr/>
      </w:r>
    </w:p>
    <w:p>
      <w:pPr>
        <w:pStyle w:val="Normal"/>
        <w:widowControl/>
        <w:ind w:firstLine="720" w:end="0"/>
        <w:rPr/>
      </w:pPr>
      <w:r>
        <w:rPr/>
        <w:t>December 13, 2000</w:t>
      </w:r>
    </w:p>
    <w:p>
      <w:pPr>
        <w:pStyle w:val="Normal"/>
        <w:widowControl/>
        <w:ind w:start="4320" w:end="0"/>
        <w:rPr/>
      </w:pPr>
      <w:r>
        <w:rPr/>
        <w:t>By:____________________________</w:t>
      </w:r>
    </w:p>
    <w:p>
      <w:pPr>
        <w:pStyle w:val="Normal"/>
        <w:widowControl/>
        <w:tabs>
          <w:tab w:val="clear" w:pos="720"/>
          <w:tab w:val="left" w:pos="4680" w:leader="none"/>
        </w:tabs>
        <w:rPr/>
      </w:pPr>
      <w:r>
        <w:rPr/>
        <w:tab/>
      </w:r>
      <w:r>
        <w:rPr>
          <w:b/>
          <w:bCs/>
        </w:rPr>
        <w:t>Glen J. Sullivan</w:t>
      </w:r>
    </w:p>
    <w:p>
      <w:pPr>
        <w:pStyle w:val="Normal"/>
        <w:widowControl/>
        <w:tabs>
          <w:tab w:val="clear" w:pos="720"/>
          <w:tab w:val="left" w:pos="4680" w:leader="none"/>
        </w:tabs>
        <w:rPr/>
      </w:pPr>
      <w:r>
        <w:rPr/>
        <w:tab/>
        <w:t>Sempra Energy</w:t>
      </w:r>
    </w:p>
    <w:p>
      <w:pPr>
        <w:pStyle w:val="Normal"/>
        <w:widowControl/>
        <w:tabs>
          <w:tab w:val="clear" w:pos="720"/>
          <w:tab w:val="left" w:pos="4680" w:leader="none"/>
        </w:tabs>
        <w:rPr/>
      </w:pPr>
      <w:r>
        <w:rPr/>
        <w:tab/>
        <w:t>101 Ash Street, HQ-13</w:t>
      </w:r>
    </w:p>
    <w:p>
      <w:pPr>
        <w:pStyle w:val="Normal"/>
        <w:widowControl/>
        <w:tabs>
          <w:tab w:val="clear" w:pos="720"/>
          <w:tab w:val="left" w:pos="4680" w:leader="none"/>
        </w:tabs>
        <w:rPr/>
      </w:pPr>
      <w:r>
        <w:rPr/>
        <w:tab/>
        <w:t>San Diego, CA 92101-3017</w:t>
      </w:r>
    </w:p>
    <w:p>
      <w:pPr>
        <w:pStyle w:val="Normal"/>
        <w:widowControl/>
        <w:tabs>
          <w:tab w:val="clear" w:pos="720"/>
          <w:tab w:val="left" w:pos="4680" w:leader="none"/>
        </w:tabs>
        <w:rPr/>
      </w:pPr>
      <w:r>
        <w:rPr/>
        <w:tab/>
        <w:t>(619) 699-5162</w:t>
      </w:r>
    </w:p>
    <w:p>
      <w:pPr>
        <w:pStyle w:val="Normal"/>
        <w:widowControl/>
        <w:tabs>
          <w:tab w:val="clear" w:pos="720"/>
          <w:tab w:val="left" w:pos="4680" w:leader="none"/>
        </w:tabs>
        <w:rPr/>
      </w:pPr>
      <w:r>
        <w:rPr/>
        <w:tab/>
        <w:t>Attorney for</w:t>
      </w:r>
    </w:p>
    <w:p>
      <w:pPr>
        <w:sectPr>
          <w:footerReference w:type="default" r:id="rId2"/>
          <w:type w:val="nextPage"/>
          <w:pgSz w:w="12240" w:h="15840"/>
          <w:pgMar w:left="1800" w:right="1800" w:gutter="0" w:header="0" w:top="1440" w:footer="720" w:bottom="1440"/>
          <w:pgNumType w:start="1" w:fmt="decimal"/>
          <w:formProt w:val="false"/>
          <w:textDirection w:val="lrTb"/>
        </w:sectPr>
        <w:pStyle w:val="Normal"/>
        <w:widowControl/>
        <w:tabs>
          <w:tab w:val="clear" w:pos="720"/>
          <w:tab w:val="left" w:pos="4680" w:leader="none"/>
        </w:tabs>
        <w:rPr/>
      </w:pPr>
      <w:r>
        <w:rPr/>
        <w:tab/>
        <w:t>Southern California Gas Company</w:t>
      </w:r>
    </w:p>
    <w:p>
      <w:pPr>
        <w:pStyle w:val="Normal"/>
        <w:widowControl/>
        <w:tabs>
          <w:tab w:val="clear" w:pos="720"/>
          <w:tab w:val="left" w:pos="4680" w:leader="none"/>
        </w:tabs>
        <w:rPr/>
      </w:pPr>
      <w:r>
        <w:rPr/>
      </w:r>
    </w:p>
    <w:p>
      <w:pPr>
        <w:pStyle w:val="Normal"/>
        <w:widowControl/>
        <w:tabs>
          <w:tab w:val="clear" w:pos="720"/>
          <w:tab w:val="left" w:pos="4680" w:leader="none"/>
        </w:tabs>
        <w:rPr/>
      </w:pPr>
      <w:r>
        <w:rPr/>
      </w:r>
    </w:p>
    <w:p>
      <w:pPr>
        <w:pStyle w:val="Normal"/>
        <w:widowControl/>
        <w:tabs>
          <w:tab w:val="clear" w:pos="720"/>
          <w:tab w:val="left" w:pos="4680" w:leader="none"/>
        </w:tabs>
        <w:rPr/>
      </w:pPr>
      <w:r>
        <w:rPr/>
      </w:r>
    </w:p>
    <w:p>
      <w:pPr>
        <w:pStyle w:val="Normal"/>
        <w:widowControl/>
        <w:tabs>
          <w:tab w:val="clear" w:pos="720"/>
          <w:tab w:val="left" w:pos="4680" w:leader="none"/>
        </w:tabs>
        <w:jc w:val="center"/>
        <w:rPr>
          <w:b/>
          <w:bCs/>
          <w:u w:val="single"/>
        </w:rPr>
      </w:pPr>
      <w:r>
        <w:rPr>
          <w:b/>
          <w:bCs/>
          <w:u w:val="single"/>
        </w:rPr>
        <w:t>CERTIFICATE OF SERVICE</w:t>
      </w:r>
    </w:p>
    <w:p>
      <w:pPr>
        <w:pStyle w:val="Normal"/>
        <w:widowControl/>
        <w:tabs>
          <w:tab w:val="clear" w:pos="720"/>
          <w:tab w:val="left" w:pos="4680" w:leader="none"/>
        </w:tabs>
        <w:jc w:val="center"/>
        <w:rPr>
          <w:b/>
          <w:bCs/>
          <w:u w:val="single"/>
        </w:rPr>
      </w:pPr>
      <w:r>
        <w:rPr>
          <w:b/>
          <w:bCs/>
          <w:u w:val="single"/>
        </w:rPr>
      </w:r>
    </w:p>
    <w:p>
      <w:pPr>
        <w:pStyle w:val="Normal"/>
        <w:widowControl/>
        <w:tabs>
          <w:tab w:val="clear" w:pos="720"/>
          <w:tab w:val="left" w:pos="4680" w:leader="none"/>
        </w:tabs>
        <w:jc w:val="center"/>
        <w:rPr>
          <w:b/>
          <w:bCs/>
          <w:u w:val="single"/>
        </w:rPr>
      </w:pPr>
      <w:r>
        <w:rPr>
          <w:b/>
          <w:bCs/>
          <w:u w:val="single"/>
        </w:rPr>
      </w:r>
    </w:p>
    <w:p>
      <w:pPr>
        <w:pStyle w:val="Normal"/>
        <w:widowControl/>
        <w:spacing w:lineRule="auto" w:line="480" w:before="0" w:after="240"/>
        <w:ind w:firstLine="720" w:start="720" w:end="0"/>
        <w:rPr/>
      </w:pPr>
      <w:r>
        <w:rPr/>
        <w:t xml:space="preserve">I hereby certify that I have this day served the foregoing document by first class mail, upon all parties listed on the official service list compiled by the Secretary in these proceedings </w:t>
      </w:r>
    </w:p>
    <w:p>
      <w:pPr>
        <w:pStyle w:val="Normal"/>
        <w:widowControl/>
        <w:spacing w:lineRule="auto" w:line="480" w:before="0" w:after="240"/>
        <w:ind w:firstLine="1440" w:end="0"/>
        <w:rPr/>
      </w:pPr>
      <w:r>
        <w:rPr/>
        <w:t>Dated at San Diego, California this 13th day of December, 2000.</w:t>
      </w:r>
    </w:p>
    <w:p>
      <w:pPr>
        <w:pStyle w:val="Normal"/>
        <w:widowControl/>
        <w:tabs>
          <w:tab w:val="clear" w:pos="720"/>
          <w:tab w:val="left" w:pos="5040" w:leader="none"/>
          <w:tab w:val="center" w:pos="6840" w:leader="none"/>
          <w:tab w:val="left" w:pos="8640" w:leader="none"/>
        </w:tabs>
        <w:ind w:hanging="720" w:start="5040" w:end="-634"/>
        <w:rPr>
          <w:sz w:val="18"/>
          <w:szCs w:val="18"/>
        </w:rPr>
      </w:pPr>
      <w:r>
        <w:rPr>
          <w:sz w:val="18"/>
          <w:szCs w:val="18"/>
        </w:rPr>
      </w:r>
    </w:p>
    <w:p>
      <w:pPr>
        <w:pStyle w:val="Normal"/>
        <w:widowControl/>
        <w:tabs>
          <w:tab w:val="clear" w:pos="720"/>
          <w:tab w:val="left" w:pos="5040" w:leader="none"/>
          <w:tab w:val="center" w:pos="6840" w:leader="none"/>
          <w:tab w:val="left" w:pos="8640" w:leader="none"/>
        </w:tabs>
        <w:ind w:hanging="720" w:start="5040" w:end="-634"/>
        <w:rPr>
          <w:sz w:val="18"/>
          <w:szCs w:val="18"/>
        </w:rPr>
      </w:pPr>
      <w:r>
        <w:rPr>
          <w:sz w:val="18"/>
          <w:szCs w:val="18"/>
        </w:rPr>
        <w:t>____________________________________</w:t>
      </w:r>
    </w:p>
    <w:p>
      <w:pPr>
        <w:pStyle w:val="Normal"/>
        <w:widowControl/>
        <w:tabs>
          <w:tab w:val="clear" w:pos="720"/>
          <w:tab w:val="left" w:pos="5040" w:leader="none"/>
          <w:tab w:val="center" w:pos="6840" w:leader="none"/>
          <w:tab w:val="left" w:pos="8640" w:leader="none"/>
        </w:tabs>
        <w:ind w:hanging="720" w:start="5040" w:end="-634"/>
        <w:rPr>
          <w:b/>
          <w:bCs/>
        </w:rPr>
      </w:pPr>
      <w:r>
        <w:rPr>
          <w:b/>
          <w:bCs/>
        </w:rPr>
        <w:t>Glen J. Sullivan</w:t>
      </w:r>
    </w:p>
    <w:p>
      <w:pPr>
        <w:pStyle w:val="Normal"/>
        <w:widowControl/>
        <w:tabs>
          <w:tab w:val="clear" w:pos="720"/>
          <w:tab w:val="left" w:pos="5040" w:leader="none"/>
          <w:tab w:val="center" w:pos="6840" w:leader="none"/>
          <w:tab w:val="left" w:pos="8640" w:leader="none"/>
        </w:tabs>
        <w:ind w:hanging="720" w:start="5040" w:end="-634"/>
        <w:rPr/>
      </w:pPr>
      <w:r>
        <w:rPr/>
        <w:t>Sempra Energy</w:t>
      </w:r>
    </w:p>
    <w:p>
      <w:pPr>
        <w:pStyle w:val="Normal"/>
        <w:widowControl/>
        <w:tabs>
          <w:tab w:val="clear" w:pos="720"/>
          <w:tab w:val="left" w:pos="5040" w:leader="none"/>
          <w:tab w:val="center" w:pos="6840" w:leader="none"/>
          <w:tab w:val="left" w:pos="8640" w:leader="none"/>
        </w:tabs>
        <w:ind w:hanging="720" w:start="5040" w:end="-634"/>
        <w:rPr/>
      </w:pPr>
      <w:r>
        <w:rPr/>
        <w:t>101 Ash Street, HQ-13</w:t>
      </w:r>
    </w:p>
    <w:p>
      <w:pPr>
        <w:pStyle w:val="Normal"/>
        <w:widowControl/>
        <w:tabs>
          <w:tab w:val="clear" w:pos="720"/>
          <w:tab w:val="left" w:pos="5040" w:leader="none"/>
          <w:tab w:val="center" w:pos="6840" w:leader="none"/>
          <w:tab w:val="left" w:pos="8640" w:leader="none"/>
        </w:tabs>
        <w:ind w:hanging="720" w:start="5040" w:end="-634"/>
        <w:rPr/>
      </w:pPr>
      <w:r>
        <w:rPr/>
        <w:t>San Diego, CA 92101-3017</w:t>
      </w:r>
    </w:p>
    <w:p>
      <w:pPr>
        <w:pStyle w:val="Normal"/>
        <w:widowControl/>
        <w:tabs>
          <w:tab w:val="clear" w:pos="720"/>
          <w:tab w:val="left" w:pos="5040" w:leader="none"/>
          <w:tab w:val="center" w:pos="6840" w:leader="none"/>
          <w:tab w:val="left" w:pos="8640" w:leader="none"/>
        </w:tabs>
        <w:ind w:hanging="720" w:start="5040" w:end="-634"/>
        <w:rPr/>
      </w:pPr>
      <w:r>
        <w:rPr/>
        <w:t>Tel: (619) 699-5162</w:t>
      </w:r>
    </w:p>
    <w:p>
      <w:pPr>
        <w:pStyle w:val="Normal"/>
        <w:widowControl/>
        <w:tabs>
          <w:tab w:val="clear" w:pos="720"/>
          <w:tab w:val="left" w:pos="5040" w:leader="none"/>
          <w:tab w:val="center" w:pos="6840" w:leader="none"/>
          <w:tab w:val="left" w:pos="8640" w:leader="none"/>
        </w:tabs>
        <w:ind w:hanging="720" w:start="5040" w:end="-634"/>
        <w:rPr/>
      </w:pPr>
      <w:r>
        <w:rPr/>
        <w:t>Fax: (619) 699-5027</w:t>
      </w:r>
    </w:p>
    <w:p>
      <w:pPr>
        <w:pStyle w:val="Normal"/>
        <w:widowControl/>
        <w:spacing w:lineRule="auto" w:line="480"/>
        <w:ind w:firstLine="720" w:end="0"/>
        <w:rPr/>
      </w:pPr>
      <w:r>
        <w:rPr/>
      </w:r>
    </w:p>
    <w:sectPr>
      <w:footerReference w:type="default" r:id="rId3"/>
      <w:footerReference w:type="first" r:id="rId4"/>
      <w:type w:val="nextPage"/>
      <w:pgSz w:w="12240" w:h="15840"/>
      <w:pgMar w:left="1800" w:right="1800" w:gutter="0" w:header="0" w:top="1440" w:footer="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5</w:t>
                          </w:r>
                          <w:r>
                            <w:rPr>
                              <w:rStyle w:val="PageNumber"/>
                              <w:sz w:val="24"/>
                              <w:szCs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widowControl/>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5</w:t>
                    </w:r>
                    <w:r>
                      <w:rPr>
                        <w:rStyle w:val="PageNumber"/>
                        <w:sz w:val="24"/>
                        <w:szCs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720" w:start="0" w:end="0"/>
    </w:pPr>
    <w:rPr/>
  </w:style>
  <w:style w:type="paragraph" w:styleId="BodyText2">
    <w:name w:val="Body Text 2"/>
    <w:basedOn w:val="Normal"/>
    <w:qFormat/>
    <w:pPr>
      <w:tabs>
        <w:tab w:val="clear" w:pos="720"/>
        <w:tab w:val="left" w:pos="90" w:leader="none"/>
        <w:tab w:val="left" w:pos="540" w:leader="none"/>
        <w:tab w:val="left" w:pos="630" w:leader="none"/>
      </w:tabs>
      <w:spacing w:lineRule="auto" w:line="480"/>
      <w:jc w:val="center"/>
    </w:pPr>
    <w:rPr/>
  </w:style>
  <w:style w:type="paragraph" w:styleId="BodyTextIndent2">
    <w:name w:val="Body Text Indent 2"/>
    <w:basedOn w:val="Normal"/>
    <w:qFormat/>
    <w:pPr>
      <w:spacing w:lineRule="auto" w:line="480"/>
      <w:ind w:firstLine="720" w:start="180" w:end="0"/>
    </w:pPr>
    <w:rPr/>
  </w:style>
  <w:style w:type="paragraph" w:styleId="DSINDENTjust">
    <w:name w:val="DS/INDENT. (just.)"/>
    <w:qFormat/>
    <w:pPr>
      <w:widowControl w:val="false"/>
      <w:bidi w:val="0"/>
      <w:spacing w:lineRule="exact" w:line="480"/>
      <w:ind w:firstLine="1440" w:start="0" w:end="0"/>
    </w:pPr>
    <w:rPr>
      <w:rFonts w:ascii="Courier" w:hAnsi="Courier" w:eastAsia="Courier" w:cs="Courier"/>
      <w:color w:val="auto"/>
      <w:sz w:val="24"/>
      <w:szCs w:val="24"/>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2000-12-15T14:02:00Z</dcterms:created>
  <dc:creator>A Valued Microsoft Customer</dc:creator>
  <dc:description/>
  <dc:language>en-CA</dc:language>
  <cp:lastModifiedBy>A Valued Microsoft Customer</cp:lastModifiedBy>
  <cp:lastPrinted>2000-10-10T16:38:00Z</cp:lastPrinted>
  <dcterms:modified xsi:type="dcterms:W3CDTF">2000-12-15T14:02:00Z</dcterms:modified>
  <cp:revision>2</cp:revision>
  <dc:subject/>
  <dc:title>UNITED STATES OF AMERICA</dc:title>
</cp:coreProperties>
</file>