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media/image1.wmf" ContentType="image/x-wmf"/>
  <Override PartName="/word/footer5.xml" ContentType="application/vnd.openxmlformats-officedocument.wordprocessingml.footer+xml"/>
  <Override PartName="/word/embeddings/oleObject1.pptx" ContentType="application/vnd.openxmlformats-officedocument.presentationml.presentation"/>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r>
      <w:r>
        <w:rPr>
          <w:caps/>
        </w:rPr>
        <w:t>prepared direct testimony of</w:t>
        <w:br/>
        <w:t>richard c. hall in the southern California phase</w:t>
        <w:br/>
        <w:t>of the promising gas options oii (i.99-07-003)</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caps/>
        </w:rPr>
      </w:pPr>
      <w:r>
        <w:rPr>
          <w:caps/>
        </w:rPr>
      </w:r>
    </w:p>
    <w:p>
      <w:pPr>
        <w:pStyle w:val="TOCTitle"/>
        <w:rPr/>
      </w:pPr>
      <w:r>
        <w:rPr/>
        <w:t>PACIFIC GAS AND ELECTRIC COMPANY</w:t>
        <w:br/>
        <w:t>prepared direct testimony of</w:t>
        <w:br/>
        <w:t>richard c. hall in the southern California phase</w:t>
        <w:br/>
        <w:t>of the promising gas options oii (i.99-07-003)</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hyperlink w:anchor="__RefHeading___Toc482172800">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PG&amp;E Comments on Pending Settlements</w:t>
          </w:r>
          <w:r>
            <w:rPr>
              <w:lang w:val="en-CA" w:eastAsia="en-CA"/>
            </w:rPr>
            <w:tab/>
          </w:r>
          <w:hyperlink w:anchor="__RefHeading___Toc482172801">
            <w:r>
              <w:rPr>
                <w:rStyle w:val="IndexLink"/>
                <w:lang w:val="en-CA" w:eastAsia="en-CA"/>
              </w:rPr>
              <w:t>2</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Interim Settlement</w:t>
          </w:r>
          <w:r>
            <w:rPr>
              <w:lang w:val="en-CA" w:eastAsia="en-CA"/>
            </w:rPr>
            <w:tab/>
          </w:r>
          <w:hyperlink w:anchor="__RefHeading___Toc482172802">
            <w:r>
              <w:rPr>
                <w:rStyle w:val="IndexLink"/>
                <w:lang w:val="en-CA" w:eastAsia="en-CA"/>
              </w:rPr>
              <w:t>2</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Post-Interim Settlement</w:t>
          </w:r>
          <w:r>
            <w:rPr>
              <w:lang w:val="en-CA" w:eastAsia="en-CA"/>
            </w:rPr>
            <w:tab/>
          </w:r>
          <w:hyperlink w:anchor="__RefHeading___Toc482172803">
            <w:r>
              <w:rPr>
                <w:rStyle w:val="IndexLink"/>
                <w:lang w:val="en-CA" w:eastAsia="en-CA"/>
              </w:rPr>
              <w:t>3</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Comprehensive Settlement</w:t>
          </w:r>
          <w:r>
            <w:rPr>
              <w:lang w:val="en-CA" w:eastAsia="en-CA"/>
            </w:rPr>
            <w:tab/>
          </w:r>
          <w:hyperlink w:anchor="__RefHeading___Toc482172804">
            <w:r>
              <w:rPr>
                <w:rStyle w:val="IndexLink"/>
                <w:lang w:val="en-CA" w:eastAsia="en-CA"/>
              </w:rPr>
              <w:t>3</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PG&amp;E’s Proposed Modification to the Proposed Primary Rights Allocation Scheme in the Comprehensive Settlement</w:t>
          </w:r>
          <w:r>
            <w:rPr>
              <w:lang w:val="en-CA" w:eastAsia="en-CA"/>
            </w:rPr>
            <w:tab/>
          </w:r>
          <w:hyperlink w:anchor="__RefHeading___Toc482172805">
            <w:r>
              <w:rPr>
                <w:rStyle w:val="IndexLink"/>
                <w:lang w:val="en-CA" w:eastAsia="en-CA"/>
              </w:rPr>
              <w:t>5</w:t>
            </w:r>
          </w:hyperlink>
        </w:p>
        <w:p>
          <w:pPr>
            <w:pStyle w:val="TOC1"/>
            <w:tabs>
              <w:tab w:val="left" w:pos="720" w:leader="none"/>
              <w:tab w:val="right" w:pos="9000" w:leader="dot"/>
            </w:tabs>
            <w:rPr>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Conclusion</w:t>
          </w:r>
          <w:r>
            <w:rPr>
              <w:lang w:val="en-CA" w:eastAsia="en-CA"/>
            </w:rPr>
            <w:tab/>
          </w:r>
          <w:hyperlink w:anchor="__RefHeading___Toc482172806">
            <w:r>
              <w:rPr>
                <w:rStyle w:val="IndexLink"/>
                <w:lang w:val="en-CA" w:eastAsia="en-CA"/>
              </w:rPr>
              <w:t>10</w:t>
            </w:r>
          </w:hyperlink>
        </w:p>
        <w:p>
          <w:pPr>
            <w:pStyle w:val="Normal"/>
            <w:tabs>
              <w:tab w:val="clear" w:pos="720"/>
              <w:tab w:val="left" w:pos="7380" w:leader="none"/>
            </w:tabs>
            <w:ind w:hanging="0" w:end="0"/>
            <w:rPr/>
          </w:pPr>
          <w:r>
            <w:rPr>
              <w:caps/>
            </w:rPr>
            <w:t>Statement of Qualifications</w:t>
          </w:r>
          <w:r>
            <w:rPr/>
            <w:tab/>
            <w:t>Richard C. Hall</w:t>
          </w:r>
          <w:r>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widowControl/>
        <w:bidi w:val="0"/>
        <w:spacing w:lineRule="exact" w:line="400"/>
        <w:ind w:firstLine="432" w:start="0" w:end="0"/>
        <w:rPr>
          <w:rFonts w:ascii="Arial" w:hAnsi="Arial" w:eastAsia="Times New Roman" w:cs="Arial"/>
          <w:color w:val="000000"/>
          <w:sz w:val="24"/>
          <w:szCs w:val="20"/>
          <w:lang w:val="en-US" w:bidi="ar-SA"/>
        </w:rPr>
      </w:pPr>
      <w:r>
        <w:rPr>
          <w:rFonts w:eastAsia="Times New Roman" w:cs="Arial"/>
          <w:color w:val="000000"/>
          <w:sz w:val="24"/>
          <w:szCs w:val="20"/>
          <w:lang w:val="en-US" w:bidi="ar-SA"/>
        </w:rPr>
      </w:r>
    </w:p>
    <w:p>
      <w:pPr>
        <w:pStyle w:val="TITLE1"/>
        <w:rPr/>
      </w:pPr>
      <w:r>
        <w:rPr/>
        <w:t>PACIFIC GAS AND ELECTRIC COMPANY</w:t>
      </w:r>
    </w:p>
    <w:p>
      <w:pPr>
        <w:pStyle w:val="TITLE3"/>
        <w:rPr>
          <w:caps/>
        </w:rPr>
      </w:pPr>
      <w:r>
        <w:rPr>
          <w:caps/>
        </w:rPr>
        <w:t>prepared direct testimony of</w:t>
        <w:br/>
        <w:t>richard c. hall in the southern California phase</w:t>
        <w:br/>
        <w:t>of the promising gas options oii (i.99-07-003)</w:t>
      </w:r>
    </w:p>
    <w:p>
      <w:pPr>
        <w:pStyle w:val="Heading1"/>
        <w:ind w:firstLine="432" w:start="0"/>
        <w:rPr/>
      </w:pPr>
      <w:bookmarkStart w:id="0" w:name="__RefHeading___Toc482172800"/>
      <w:bookmarkEnd w:id="0"/>
      <w:r>
        <w:rPr/>
        <w:t>Introduction</w:t>
      </w:r>
    </w:p>
    <w:p>
      <w:pPr>
        <w:pStyle w:val="Body1"/>
        <w:rPr/>
      </w:pPr>
      <w:r>
        <w:rPr/>
        <w:t>One of Pacific Gas and Electric Company’s (PG&amp;E) principal interests in this phase of this proceeding arises from the receipt point capacity allocation procedures Southern California Gas Company (SoCalGas) presently employs on its system.  SoCalGas’s current “window procedures”</w:t>
      </w:r>
      <w:r>
        <w:rPr>
          <w:b/>
          <w:position w:val="6"/>
        </w:rPr>
        <w:t>[</w:t>
      </w:r>
      <w:r>
        <w:rPr>
          <w:rStyle w:val="FootnoteCharacters"/>
          <w:rStyle w:val="FootnoteReference"/>
        </w:rPr>
        <w:footnoteReference w:id="2"/>
      </w:r>
      <w:r>
        <w:rPr>
          <w:b/>
          <w:position w:val="6"/>
        </w:rPr>
        <w:t>]</w:t>
      </w:r>
      <w:r>
        <w:rPr/>
        <w:t xml:space="preserve"> disadvantage SoCalGas customers and the shippers who serve them, particularly at the Wheeler Ridge Receipt Point.</w:t>
      </w:r>
      <w:r>
        <w:rPr>
          <w:b/>
          <w:position w:val="6"/>
        </w:rPr>
        <w:t>[</w:t>
      </w:r>
      <w:r>
        <w:rPr>
          <w:rStyle w:val="FootnoteCharacters"/>
          <w:rStyle w:val="FootnoteReference"/>
        </w:rPr>
        <w:footnoteReference w:id="3"/>
      </w:r>
      <w:r>
        <w:rPr>
          <w:b/>
          <w:position w:val="6"/>
        </w:rPr>
        <w:t>]</w:t>
      </w:r>
      <w:r>
        <w:rPr/>
        <w:t xml:space="preserve">  The three settlements</w:t>
      </w:r>
      <w:r>
        <w:rPr>
          <w:b/>
          <w:position w:val="6"/>
        </w:rPr>
        <w:t>[</w:t>
      </w:r>
      <w:r>
        <w:rPr>
          <w:rStyle w:val="FootnoteCharacters"/>
          <w:rStyle w:val="FootnoteReference"/>
        </w:rPr>
        <w:footnoteReference w:id="4"/>
      </w:r>
      <w:r>
        <w:rPr>
          <w:b/>
          <w:position w:val="6"/>
        </w:rPr>
        <w:t>]</w:t>
      </w:r>
      <w:r>
        <w:rPr/>
        <w:t xml:space="preserve"> now before the Commission each contain proposals that attempt to remedy the receipt point capacity allocation issues PG&amp;E and others have identified. </w:t>
      </w:r>
    </w:p>
    <w:p>
      <w:pPr>
        <w:pStyle w:val="Body1"/>
        <w:rPr/>
      </w:pPr>
      <w:r>
        <w:rPr/>
        <w:t>In this testimony, PG&amp;E explains why it continues to support the Interim Settlement, which it has signed.  Also, PG&amp;E comments on the Comprehensive Settlement, principally suggesting a market</w:t>
        <w:noBreakHyphen/>
        <w:t>determined allocation of primary rights at the Wheeler Ridge receipt point.  PG&amp;E believes its proposal would increase the transportation options of shippers moving gas through Wheeler Ridge and thereby benefit shippers and customers in Southern California.  PG&amp;E takes no position at this time on the other provisions of the Comprehensive Settlement.</w:t>
      </w:r>
    </w:p>
    <w:p>
      <w:pPr>
        <w:pStyle w:val="Heading1"/>
        <w:ind w:firstLine="432" w:start="0"/>
        <w:rPr/>
      </w:pPr>
      <w:bookmarkStart w:id="1" w:name="__RefHeading___Toc482172801"/>
      <w:bookmarkEnd w:id="1"/>
      <w:r>
        <w:rPr/>
        <w:t>PG&amp;E Comments on Pending Settlements</w:t>
      </w:r>
    </w:p>
    <w:p>
      <w:pPr>
        <w:pStyle w:val="Heading2"/>
        <w:ind w:firstLine="432" w:start="0"/>
        <w:rPr/>
      </w:pPr>
      <w:bookmarkStart w:id="2" w:name="__RefHeading___Toc482172802"/>
      <w:bookmarkEnd w:id="2"/>
      <w:r>
        <w:rPr/>
        <w:t>Interim Settlement</w:t>
      </w:r>
    </w:p>
    <w:p>
      <w:pPr>
        <w:pStyle w:val="Body2"/>
        <w:rPr/>
      </w:pPr>
      <w:r>
        <w:rPr/>
        <w:t>The Interim Settlement would eliminate SoCalGas’ current window procedures and replace them with a system under which receipt point capacities would be set based on the maximum physical operating capacity at each receipt point on each day.  These receipt point capacities would be publicly posted prior to nomination deadlines.  If nominations at any receipt points exceeded the operating capacities that day at those points, SoCalGas would require the upstream pipelines to reduce their nominations, but not below the operating capacities of the receipt points.  If nominations exceeded the operating capacity at a receipt point such as Wheeler Ridge where two or more upstream pipelines interconnect, SoCalGas would prorate the available capacity among the upstream pipelines based on the previous day’s actual flows.  The Interim Settlement would also establish Hector Road as a formal receipt point where any customer may nominate gas.</w:t>
      </w:r>
    </w:p>
    <w:p>
      <w:pPr>
        <w:pStyle w:val="Body2"/>
        <w:rPr/>
      </w:pPr>
      <w:r>
        <w:rPr/>
        <w:t>If approved, the Interim Settlement would significantly improve receipt point access on the SoCalGas system.  Unlike SoCalGas’ current “window” procedures, the Interim Settlement would enable SoCalGas to make available the full physical capacity of each receipt point during each day’s four nomination cycles.  This is a vast improvement over the current procedure under which available receipt point capacity is based primarily on actual flows that occurred on the previous day.</w:t>
      </w:r>
    </w:p>
    <w:p>
      <w:pPr>
        <w:pStyle w:val="Body2"/>
        <w:rPr/>
      </w:pPr>
      <w:r>
        <w:rPr/>
        <w:t>The Interim Settlement would provide at least two additional benefits related to system access.  First, it would replace SoCalGas’ current overnomination events with Operational Flow Orders (OFOs), and thus require individual shippers to take greater responsibility for matching the supplies they deliver into SoCalGas’ system with the loads they serve.  Second, it would establish specific criteria for expansion of the Wheeler Ridge receipt point if that point is consistently constrained.</w:t>
      </w:r>
    </w:p>
    <w:p>
      <w:pPr>
        <w:pStyle w:val="Body2"/>
        <w:rPr/>
      </w:pPr>
      <w:r>
        <w:rPr/>
        <w:t>Expansion criteria are appropriate under the Interim Settlement because the settlement would not create firm, unbundled capacity rights.  Absent creation of firm rights, market participants cannot effectively signal the need for additional capacity.  The Interim Settlement expansion criteria provide for monitoring of daily nominations at Wheeler Ridge and expansion of that receipt point if specific levels of service are not attained.</w:t>
      </w:r>
    </w:p>
    <w:p>
      <w:pPr>
        <w:pStyle w:val="Body2"/>
        <w:rPr/>
      </w:pPr>
      <w:r>
        <w:rPr/>
        <w:t>PG&amp;E supported, and continues to support, the Interim Settlement because it provides reasonable improvements to SoCalGas’ receipt point access procedures.  As the name of the settlement implies, these solutions should be interim in nature, pending resolution of longer-term transmission unbundling issues on SoCalGas’ system.</w:t>
      </w:r>
    </w:p>
    <w:p>
      <w:pPr>
        <w:pStyle w:val="Heading2"/>
        <w:ind w:firstLine="432" w:start="0"/>
        <w:rPr/>
      </w:pPr>
      <w:bookmarkStart w:id="3" w:name="__RefHeading___Toc482172803"/>
      <w:bookmarkEnd w:id="3"/>
      <w:r>
        <w:rPr/>
        <w:t>Post-Interim Settlement</w:t>
      </w:r>
    </w:p>
    <w:p>
      <w:pPr>
        <w:pStyle w:val="Body2"/>
        <w:rPr/>
      </w:pPr>
      <w:r>
        <w:rPr/>
        <w:t>The Post-Interim Settlement incorporates all of the provisions of the Interim Settlement, but creates a longer effective term for these provisions—through August 31, 2006, instead of December 31, 2002.  The Post-Interim Settlement also contains several features not included in the Interim Settlement and not directly related to SoCalGas’ receipt point access problems.  PG&amp;E supports those provisions of the Post-Interim Settlement that are consistent with the Interim Settlement and takes no position at this time on the remaining provisions of the Post</w:t>
        <w:noBreakHyphen/>
        <w:t>Interim Settlement.</w:t>
      </w:r>
    </w:p>
    <w:p>
      <w:pPr>
        <w:pStyle w:val="Heading2"/>
        <w:ind w:firstLine="432" w:start="0"/>
        <w:rPr/>
      </w:pPr>
      <w:bookmarkStart w:id="4" w:name="__RefHeading___Toc482172804"/>
      <w:bookmarkEnd w:id="4"/>
      <w:r>
        <w:rPr/>
        <w:t>Comprehensive Settlement</w:t>
      </w:r>
    </w:p>
    <w:p>
      <w:pPr>
        <w:pStyle w:val="Body2"/>
        <w:rPr/>
      </w:pPr>
      <w:r>
        <w:rPr/>
        <w:t>The Comprehensive Settlement offers a short-term and a long-term solution to SoCalGas’ receipt point access problems.  PG&amp;E believes the short-term solution proposed in the Comprehensive Settlement is acceptable because it is essentially the same as that proposed in the Interim Settlement, except for elimination of the Wheeler Ridge expansion criteria.  Although PG&amp;E considers the Wheeler Ridge expansion criteria to be a significant benefit, PG&amp;E believes that creation of firm, unbundled transmission rights on SoCalGas’ system—the long</w:t>
        <w:noBreakHyphen/>
        <w:t>term solution proposed in the Comprehensive Settlement—will create the necessary price signals for expansion of the Wheeler Ridge receipt point.</w:t>
      </w:r>
    </w:p>
    <w:p>
      <w:pPr>
        <w:pStyle w:val="Body2"/>
        <w:rPr/>
      </w:pPr>
      <w:r>
        <w:rPr/>
        <w:t>The long-term solution, which would be effective October 1, 2001, would create firm, unbundled, transmission rights at each receipt point into SoCalGas’ system.  PG&amp;E supports the creation of such firm transmission rights as a long-term solution to SoCalGas’ receipt point access problems.</w:t>
      </w:r>
    </w:p>
    <w:p>
      <w:pPr>
        <w:pStyle w:val="Body2"/>
        <w:rPr/>
      </w:pPr>
      <w:r>
        <w:rPr/>
        <w:t>At receipt points such as Wheeler Ridge, where more than one upstream pipeline interconnects, the Comprehensive Settlement would create primary and secondary interconnection designations.  A firm contract at such a receipt point would specify one of the interconnections as the primary interconnection, but would also allow nominations to any other interconnection at that receipt point on a secondary basis.  Primary firm service would have priority over secondary firm service, which in turn would have priority over interruptible service.  PG&amp;E supports creation of primary and secondary interconnection designations, but in a manner different from the Comprehensive Settlement.</w:t>
      </w:r>
    </w:p>
    <w:p>
      <w:pPr>
        <w:pStyle w:val="Body2"/>
        <w:rPr/>
      </w:pPr>
      <w:r>
        <w:rPr/>
        <w:t>Primary and secondary interconnection designations are desirable when two conditions exist:  (1) two or more upstream pipelines interconnect at the same SoCalGas receipt point; and (2) one or more of these upstream pipelines has less interconnection capacity into the receipt point than SoCalGas has take-away capacity from that point.  Under these circumstances, if SoCalGas merely offered firm transmission contracts without primary interconnection designations, these contracts would be subject to potential interruption.  On any given day, all of the contracts might nominate gas at the interconnection that has less capacity than the receipt point take-away capacity.  Thus, some of the firm nominations at that receipt point could not be served.</w:t>
      </w:r>
      <w:r>
        <w:rPr>
          <w:b/>
          <w:color w:val="000000"/>
          <w:position w:val="6"/>
        </w:rPr>
        <w:t>[</w:t>
      </w:r>
      <w:r>
        <w:rPr>
          <w:rStyle w:val="FootnoteCharacters"/>
          <w:rStyle w:val="FootnoteReference"/>
        </w:rPr>
        <w:footnoteReference w:id="5"/>
      </w:r>
      <w:r>
        <w:rPr>
          <w:b/>
          <w:color w:val="000000"/>
          <w:position w:val="6"/>
        </w:rPr>
        <w:t>]</w:t>
      </w:r>
    </w:p>
    <w:p>
      <w:pPr>
        <w:pStyle w:val="Body2"/>
        <w:rPr/>
      </w:pPr>
      <w:r>
        <w:rPr/>
        <w:t>This problem can be remedied by designating a primary interconnection in each SoCalGas firm transmission contract at the receipt point in question, and imposing two limits on sales of firm service at that receipt point:  (1) the contract quantities for each primary interconnection designation cannot exceed the capacity of that interconnection; and (2) the combined contract quantities for all firm contracts at that receipt point, regardless of primary interconnection designation, cannot exceed SoCalGas’ take-away capacity at that point.  As mentioned above, all firm contracts would also include flexibility to nominate at other interconnections at the same receipt point on a secondary basis.</w:t>
      </w:r>
    </w:p>
    <w:p>
      <w:pPr>
        <w:pStyle w:val="Body2"/>
        <w:rPr/>
      </w:pPr>
      <w:r>
        <w:rPr/>
        <w:t>To reiterate, the primary firm rights contracted by SoCalGas must not exceed the physical interconnection capacity, and the total primary firm rights contracted at a receipt point must not exceed the downstream take</w:t>
        <w:noBreakHyphen/>
        <w:t>away capacity.  By following these principles, shippers are offered the maximum operational and contractual flexibility while ensuring that primary firm receipt point rights are truly firm.</w:t>
      </w:r>
    </w:p>
    <w:p>
      <w:pPr>
        <w:pStyle w:val="Body2"/>
        <w:rPr/>
      </w:pPr>
      <w:r>
        <w:rPr/>
        <w:t>The Comprehensive Settlement would create primary interconnection designations, but would do so in a manner that pre-determines the allocation of primary rights at the Wheeler Ridge receipt point, rather than letting the market decide that allocation.  Also, the method of determining primary interconnection rights in the Comprehensive Settlement would leave open the possibility of interruption of SoCalGas’ “firm” transmission service, thus defeating the purpose of having primary interconnection designations.</w:t>
      </w:r>
    </w:p>
    <w:p>
      <w:pPr>
        <w:pStyle w:val="Body2"/>
        <w:rPr/>
      </w:pPr>
      <w:r>
        <w:rPr/>
        <w:t>As discussed below, PG&amp;E supports a market</w:t>
        <w:noBreakHyphen/>
        <w:t>determined allocation of primary rights rather than the less flexible, pre</w:t>
        <w:noBreakHyphen/>
        <w:t>determined allocations the Comprehensive Settlement now proposes.  PG&amp;E takes no position at this time on the other provisions of the Comprehensive Settlement.</w:t>
      </w:r>
    </w:p>
    <w:p>
      <w:pPr>
        <w:pStyle w:val="Heading1"/>
        <w:ind w:firstLine="432" w:start="0"/>
        <w:rPr/>
      </w:pPr>
      <w:bookmarkStart w:id="5" w:name="__RefHeading___Toc482172805"/>
      <w:bookmarkEnd w:id="5"/>
      <w:r>
        <w:rPr/>
        <w:t>PG&amp;E’s Proposed Modification to the Proposed Primary Rights Allocation Scheme in the Comprehensive Settlement</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pStyle w:val="Body1"/>
        <w:rPr/>
      </w:pPr>
      <w:r>
        <w:rPr/>
        <w:t xml:space="preserve">Wheeler Ridge is a receipt point where the upstream interconnection capacities are each less than the downstream takeaway capacity.  The physical interconnection capacity from the Kern/Mojave pipeline into Wheeler Ridge is 500 MMcf/d and the interconnection capacity from the PG&amp;E/Occidental systems is 520 MMcf/d.  However, the firm take-away capacity </w:t>
      </w:r>
      <w:r>
        <w:rPr>
          <w:i/>
        </w:rPr>
        <w:t>from</w:t>
      </w:r>
      <w:r>
        <w:rPr/>
        <w:t xml:space="preserve"> Wheeler Ridge is only 680 MMcf/d.  The physical capacities at Wheeler Ridge are illustrated in Figure 1. </w:t>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360" w:header="720" w:top="1008" w:footer="432" w:bottom="1008"/>
          <w:lnNumType w:countBy="1" w:restart="newPage" w:distance="283"/>
          <w:pgNumType w:fmt="decimal"/>
          <w:formProt w:val="false"/>
          <w:textDirection w:val="lrTb"/>
          <w:docGrid w:type="default" w:linePitch="360" w:charSpace="0"/>
        </w:sectPr>
        <w:pStyle w:val="BodyText"/>
        <w:numPr>
          <w:ilvl w:val="0"/>
          <w:numId w:val="0"/>
        </w:numPr>
        <w:ind w:hanging="0" w:start="0"/>
        <w:rPr/>
      </w:pPr>
      <w:r>
        <w:rPr/>
        <w:object w:dxaOrig="10800" w:dyaOrig="1440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4.05pt;margin-top:3.8pt;width:438.75pt;height:585pt;mso-wrap-distance-left:9.05pt;mso-wrap-distance-right:9.05pt;mso-position-horizontal-relative:text;mso-position-vertical-relative:text" filled="f" o:ole="">
            <v:imagedata r:id="rId12" o:title=""/>
            <w10:wrap type="topAndBottom"/>
          </v:shape>
          <o:OLEObject Type="Embed" ProgID="PowerPoint.Show.12" ShapeID="ole_rId11" DrawAspect="Content" ObjectID="_39318307" r:id="rId11"/>
        </w:object>
      </w:r>
    </w:p>
    <w:p>
      <w:pPr>
        <w:pStyle w:val="Body1"/>
        <w:rPr/>
      </w:pPr>
      <w:r>
        <w:rPr/>
        <w:t xml:space="preserve">At the Wheeler Ridge receipt point, the Comprehensive Settlement would establish two distinct packages of primary firm receipt point rights:  </w:t>
      </w:r>
    </w:p>
    <w:p>
      <w:pPr>
        <w:pStyle w:val="TableCaption"/>
        <w:suppressLineNumbers/>
        <w:rPr/>
      </w:pPr>
      <w:r>
        <w:rPr/>
        <w:t>Comprehensive Settlement</w:t>
        <w:br/>
        <w:t>Wheeler Ridge Primary &amp; Secondary Receipt Point Rights</w:t>
      </w:r>
    </w:p>
    <w:tbl>
      <w:tblPr>
        <w:tblW w:w="9216" w:type="dxa"/>
        <w:jc w:val="start"/>
        <w:tblInd w:w="0" w:type="dxa"/>
        <w:tblLayout w:type="fixed"/>
        <w:tblCellMar>
          <w:top w:w="0" w:type="dxa"/>
          <w:start w:w="108" w:type="dxa"/>
          <w:bottom w:w="0" w:type="dxa"/>
          <w:end w:w="108" w:type="dxa"/>
        </w:tblCellMar>
      </w:tblPr>
      <w:tblGrid>
        <w:gridCol w:w="2736"/>
        <w:gridCol w:w="1962"/>
        <w:gridCol w:w="2340"/>
        <w:gridCol w:w="2178"/>
      </w:tblGrid>
      <w:tr>
        <w:trPr/>
        <w:tc>
          <w:tcPr>
            <w:tcW w:w="2736"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SoCalGas</w:t>
              <w:br/>
              <w:t>Receipt Point</w:t>
            </w:r>
          </w:p>
        </w:tc>
        <w:tc>
          <w:tcPr>
            <w:tcW w:w="1962"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Firm Capacity (MMcf/d)</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br/>
              <w:t>Primary Interconnect</w:t>
            </w:r>
          </w:p>
        </w:tc>
        <w:tc>
          <w:tcPr>
            <w:tcW w:w="2178"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Secondary Interconnect</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Wheeler Ridge-North</w:t>
            </w:r>
          </w:p>
        </w:tc>
        <w:tc>
          <w:tcPr>
            <w:tcW w:w="1962" w:type="dxa"/>
            <w:tcBorders>
              <w:top w:val="single" w:sz="6" w:space="0" w:color="000000"/>
              <w:start w:val="single" w:sz="6" w:space="0" w:color="000000"/>
              <w:bottom w:val="single" w:sz="6" w:space="0" w:color="000000"/>
              <w:end w:val="single" w:sz="6" w:space="0" w:color="000000"/>
            </w:tcBorders>
          </w:tcPr>
          <w:p>
            <w:pPr>
              <w:pStyle w:val="Table-FirstRow"/>
              <w:spacing w:before="120" w:after="60"/>
              <w:jc w:val="center"/>
              <w:rPr/>
            </w:pPr>
            <w:r>
              <w:rPr/>
              <w:t>520</w:t>
            </w:r>
          </w:p>
        </w:tc>
        <w:tc>
          <w:tcPr>
            <w:tcW w:w="2340"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Kern/Mojave, PG&amp;E or Occidental Petroleum</w:t>
            </w:r>
          </w:p>
        </w:tc>
        <w:tc>
          <w:tcPr>
            <w:tcW w:w="2178"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None</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Wheeler Ridge-South</w:t>
            </w:r>
          </w:p>
        </w:tc>
        <w:tc>
          <w:tcPr>
            <w:tcW w:w="1962" w:type="dxa"/>
            <w:tcBorders>
              <w:top w:val="single" w:sz="6" w:space="0" w:color="000000"/>
              <w:start w:val="single" w:sz="6" w:space="0" w:color="000000"/>
              <w:bottom w:val="single" w:sz="6" w:space="0" w:color="000000"/>
              <w:end w:val="single" w:sz="6" w:space="0" w:color="000000"/>
            </w:tcBorders>
          </w:tcPr>
          <w:p>
            <w:pPr>
              <w:pStyle w:val="Table"/>
              <w:spacing w:before="120" w:after="60"/>
              <w:jc w:val="center"/>
              <w:rPr/>
            </w:pPr>
            <w:r>
              <w:rPr/>
              <w:t>160</w:t>
            </w:r>
          </w:p>
        </w:tc>
        <w:tc>
          <w:tcPr>
            <w:tcW w:w="2340"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Kern/Mojave</w:t>
            </w:r>
          </w:p>
        </w:tc>
        <w:tc>
          <w:tcPr>
            <w:tcW w:w="2178"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PG&amp;E or Occidental Petroleum</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Total</w:t>
            </w:r>
          </w:p>
        </w:tc>
        <w:tc>
          <w:tcPr>
            <w:tcW w:w="1962" w:type="dxa"/>
            <w:tcBorders>
              <w:top w:val="single" w:sz="6" w:space="0" w:color="000000"/>
              <w:start w:val="single" w:sz="6" w:space="0" w:color="000000"/>
              <w:bottom w:val="single" w:sz="6" w:space="0" w:color="000000"/>
              <w:end w:val="single" w:sz="6" w:space="0" w:color="000000"/>
            </w:tcBorders>
          </w:tcPr>
          <w:p>
            <w:pPr>
              <w:pStyle w:val="Table"/>
              <w:spacing w:before="120" w:after="60"/>
              <w:jc w:val="center"/>
              <w:rPr/>
            </w:pPr>
            <w:r>
              <w:rPr/>
              <w:t>680</w:t>
            </w:r>
          </w:p>
        </w:tc>
        <w:tc>
          <w:tcPr>
            <w:tcW w:w="2340" w:type="dxa"/>
            <w:tcBorders>
              <w:top w:val="single" w:sz="6" w:space="0" w:color="000000"/>
              <w:start w:val="single" w:sz="6" w:space="0" w:color="000000"/>
              <w:bottom w:val="single" w:sz="6" w:space="0" w:color="000000"/>
              <w:end w:val="single" w:sz="6" w:space="0" w:color="000000"/>
            </w:tcBorders>
          </w:tcPr>
          <w:p>
            <w:pPr>
              <w:pStyle w:val="Table"/>
              <w:snapToGrid w:val="false"/>
              <w:spacing w:before="120" w:after="60"/>
              <w:rPr/>
            </w:pPr>
            <w:r>
              <w:rPr/>
            </w:r>
          </w:p>
        </w:tc>
        <w:tc>
          <w:tcPr>
            <w:tcW w:w="2178" w:type="dxa"/>
            <w:tcBorders>
              <w:top w:val="single" w:sz="6" w:space="0" w:color="000000"/>
              <w:start w:val="single" w:sz="6" w:space="0" w:color="000000"/>
              <w:bottom w:val="single" w:sz="6" w:space="0" w:color="000000"/>
              <w:end w:val="single" w:sz="6" w:space="0" w:color="000000"/>
            </w:tcBorders>
          </w:tcPr>
          <w:p>
            <w:pPr>
              <w:pStyle w:val="Table"/>
              <w:snapToGrid w:val="false"/>
              <w:spacing w:before="120" w:after="60"/>
              <w:rPr/>
            </w:pPr>
            <w:r>
              <w:rPr/>
            </w:r>
          </w:p>
        </w:tc>
      </w:tr>
    </w:tbl>
    <w:p>
      <w:pPr>
        <w:pStyle w:val="Body1"/>
        <w:rPr/>
      </w:pPr>
      <w:r>
        <w:rPr/>
        <w:t>This pre</w:t>
        <w:noBreakHyphen/>
        <w:t xml:space="preserve">determined allocation of primary firm rights at Wheeler Ridge is inconsistent with the concept of basing primary receipt point access rights on the physical interconnection capacity because it does not recognize that the Kern/Mojave interconnection has a delivery capacity of 500 MMcf/d into Wheeler Ridge and the PG&amp;E/Occidental interconnection has a capacity of 520 MMcf/d into Wheeler Ridge.  Because both the Wheeler Ridge-North (WR-North) capacity and the Wheeler Ridge-South (WR-South) capacity have Kern/Mojave primary access rights, the entire 680 MMcf/d of firm Wheeler Ridge capacity could potentially nominate from Kern/Mojave on a primary basis.  Such nominations would result in curtailments of SoCalGas’ “firm” transmission service down to the 500 MMcf/d of physical interconnect capacity at the W.R.-South receipt point.  This defeats the purpose of having primary and secondary interconnect designations:  to provide shippers certainty that their contract rights will be honored.  </w:t>
      </w:r>
    </w:p>
    <w:p>
      <w:pPr>
        <w:pStyle w:val="Body1"/>
        <w:rPr/>
      </w:pPr>
      <w:r>
        <w:rPr/>
        <w:t xml:space="preserve">The Comprehensive Settlement’s proposed approach to this issue would create the kind of firm capacity allocation problems and degradation of firm service that currently occur on the El Paso system at Topock today, problems that should not be duplicated inside California’s borders. </w:t>
      </w:r>
    </w:p>
    <w:p>
      <w:pPr>
        <w:pStyle w:val="Body1"/>
        <w:rPr/>
      </w:pPr>
      <w:r>
        <w:rPr/>
        <w:t xml:space="preserve">Additionally, this proposed allocation of primary firm rights at Wheeler Ridge would create capacity packages of unequal value.  The WR-North package would have greater flexibility than the WR-South package because the former would offer the primary rights at both the PG&amp;E/Occidental and Kern/Mojave interconnect receipt points whereas the latter would offer primary rights only at the Kern-Mojave interconnection.  This would provide WR-North contracts with greater value in the secondary market (and therefore greater value overall.)  </w:t>
      </w:r>
    </w:p>
    <w:p>
      <w:pPr>
        <w:pStyle w:val="Body1"/>
        <w:rPr/>
      </w:pPr>
      <w:r>
        <w:rPr/>
        <w:t>This would result in a market distortion that would effectively limit the primary firm receipt point rights at the PG&amp;E/Occidental interconnection to an amount less than the physically available 520 MMcf/d capacity.  This would unnecessarily reduce the ability of southern California gas customers to access Canadian gas supplies when this gas is competitively priced.</w:t>
      </w:r>
    </w:p>
    <w:p>
      <w:pPr>
        <w:pStyle w:val="Body1"/>
        <w:rPr/>
      </w:pPr>
      <w:r>
        <w:rPr/>
        <w:t>All shippers, even those desiring to deliver gas supply only from the Kern/Mojave system, can be expected to request WR-North contracts before WR-South.  This behavior in turn would reduce the primary firm capacity rights available from the PG&amp;E/Occidental interconnection to some quantity less than the 520 MMcf/d of interconnection capacity that is physically available.</w:t>
      </w:r>
    </w:p>
    <w:p>
      <w:pPr>
        <w:pStyle w:val="Body1"/>
        <w:rPr/>
      </w:pPr>
      <w:r>
        <w:rPr/>
        <w:t xml:space="preserve">For example, if shippers that deliver gas from the Kern/Mojave system contract for 300 MMcf/d of WR-North capacity then, given SocalGas’ receipt point capacity of 680 MMcf/d, in theory at least, 380 MMcf/d of primary firm capacity should be available at Wheeler Ridge.  However, under these circumstances, the Comprehensive Settlement would make only 220 MMcf/d of primary firm capacity available to the remaining market participants accessing the PG&amp;E/Occidental interconnection.  This would limit the ability of end-users in SoCalGas’s service territory to access Canadian gas and decrease off-system through put on the PG&amp;E system.  </w:t>
      </w:r>
    </w:p>
    <w:p>
      <w:pPr>
        <w:pStyle w:val="Body1"/>
        <w:rPr/>
      </w:pPr>
      <w:r>
        <w:rPr/>
        <w:t xml:space="preserve">Although the remaining 160 MMcf/d (680-520 MMcf/d) of firm Wheeler Ridge receipt point rights might access the PG&amp;E interconnection on a secondary basis, such access would be subject to bumping by primary firm service.  Thus, shippers and customers on SoCalGas’ system would be reluctant to subscribe to this capacity (and capacity on upstream pipelines) to bring Canadian gas to southern California.  This uncertainty problem is similar to the problems created by the current “windowing” procedure.  </w:t>
      </w:r>
    </w:p>
    <w:p>
      <w:pPr>
        <w:pStyle w:val="Body1"/>
        <w:rPr/>
      </w:pPr>
      <w:r>
        <w:rPr/>
        <w:t>PG&amp;E recommends the following modification:</w:t>
      </w:r>
    </w:p>
    <w:p>
      <w:pPr>
        <w:pStyle w:val="TableCaption"/>
        <w:rPr/>
      </w:pPr>
      <w:r>
        <w:rPr/>
        <w:t>PG&amp;E Proposal</w:t>
        <w:br/>
        <w:t>Wheeler Ridge Primary &amp; Secondary Receipt Point Rights</w:t>
      </w:r>
    </w:p>
    <w:tbl>
      <w:tblPr>
        <w:tblW w:w="9216" w:type="dxa"/>
        <w:jc w:val="start"/>
        <w:tblInd w:w="0" w:type="dxa"/>
        <w:tblLayout w:type="fixed"/>
        <w:tblCellMar>
          <w:top w:w="0" w:type="dxa"/>
          <w:start w:w="108" w:type="dxa"/>
          <w:bottom w:w="0" w:type="dxa"/>
          <w:end w:w="108" w:type="dxa"/>
        </w:tblCellMar>
      </w:tblPr>
      <w:tblGrid>
        <w:gridCol w:w="2736"/>
        <w:gridCol w:w="1962"/>
        <w:gridCol w:w="2340"/>
        <w:gridCol w:w="2178"/>
      </w:tblGrid>
      <w:tr>
        <w:trPr/>
        <w:tc>
          <w:tcPr>
            <w:tcW w:w="2736"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SoCalGas</w:t>
              <w:br/>
              <w:t>Receipt Point</w:t>
            </w:r>
          </w:p>
        </w:tc>
        <w:tc>
          <w:tcPr>
            <w:tcW w:w="1962"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Firm Capacity (MMcf/d)</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br/>
              <w:t>Primary Interconnect</w:t>
            </w:r>
          </w:p>
        </w:tc>
        <w:tc>
          <w:tcPr>
            <w:tcW w:w="2178" w:type="dxa"/>
            <w:tcBorders>
              <w:top w:val="single" w:sz="6" w:space="0" w:color="000000"/>
              <w:start w:val="single" w:sz="6" w:space="0" w:color="000000"/>
              <w:bottom w:val="single" w:sz="6" w:space="0" w:color="000000"/>
              <w:end w:val="single" w:sz="6" w:space="0" w:color="000000"/>
            </w:tcBorders>
            <w:shd w:fill="CCCCCC" w:val="clear"/>
          </w:tcPr>
          <w:p>
            <w:pPr>
              <w:pStyle w:val="Table"/>
              <w:jc w:val="center"/>
              <w:rPr>
                <w:b/>
                <w:bCs/>
              </w:rPr>
            </w:pPr>
            <w:r>
              <w:rPr>
                <w:b/>
                <w:bCs/>
              </w:rPr>
              <w:t>Secondary Interconnect</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Wheeler Ridge - North</w:t>
            </w:r>
          </w:p>
        </w:tc>
        <w:tc>
          <w:tcPr>
            <w:tcW w:w="1962" w:type="dxa"/>
            <w:tcBorders>
              <w:top w:val="single" w:sz="6" w:space="0" w:color="000000"/>
              <w:start w:val="single" w:sz="6" w:space="0" w:color="000000"/>
              <w:bottom w:val="single" w:sz="6" w:space="0" w:color="000000"/>
              <w:end w:val="single" w:sz="6" w:space="0" w:color="000000"/>
            </w:tcBorders>
          </w:tcPr>
          <w:p>
            <w:pPr>
              <w:pStyle w:val="Table-FirstRow"/>
              <w:spacing w:before="120" w:after="60"/>
              <w:jc w:val="center"/>
              <w:rPr/>
            </w:pPr>
            <w:r>
              <w:rPr/>
              <w:t>Up to 520</w:t>
            </w:r>
          </w:p>
        </w:tc>
        <w:tc>
          <w:tcPr>
            <w:tcW w:w="2340"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PG&amp;E and Occidental Petroleum</w:t>
            </w:r>
          </w:p>
        </w:tc>
        <w:tc>
          <w:tcPr>
            <w:tcW w:w="2178" w:type="dxa"/>
            <w:tcBorders>
              <w:top w:val="single" w:sz="6" w:space="0" w:color="000000"/>
              <w:start w:val="single" w:sz="6" w:space="0" w:color="000000"/>
              <w:bottom w:val="single" w:sz="6" w:space="0" w:color="000000"/>
              <w:end w:val="single" w:sz="6" w:space="0" w:color="000000"/>
            </w:tcBorders>
          </w:tcPr>
          <w:p>
            <w:pPr>
              <w:pStyle w:val="Table-FirstRow"/>
              <w:spacing w:before="120" w:after="60"/>
              <w:rPr/>
            </w:pPr>
            <w:r>
              <w:rPr/>
              <w:t>Kern/Mojave</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Wheeler Ridge - South</w:t>
            </w:r>
          </w:p>
        </w:tc>
        <w:tc>
          <w:tcPr>
            <w:tcW w:w="1962" w:type="dxa"/>
            <w:tcBorders>
              <w:top w:val="single" w:sz="6" w:space="0" w:color="000000"/>
              <w:start w:val="single" w:sz="6" w:space="0" w:color="000000"/>
              <w:bottom w:val="single" w:sz="6" w:space="0" w:color="000000"/>
              <w:end w:val="single" w:sz="6" w:space="0" w:color="000000"/>
            </w:tcBorders>
          </w:tcPr>
          <w:p>
            <w:pPr>
              <w:pStyle w:val="Table"/>
              <w:spacing w:before="120" w:after="60"/>
              <w:jc w:val="center"/>
              <w:rPr/>
            </w:pPr>
            <w:r>
              <w:rPr/>
              <w:t>Up to 500</w:t>
            </w:r>
          </w:p>
        </w:tc>
        <w:tc>
          <w:tcPr>
            <w:tcW w:w="2340"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Kern/Mojave</w:t>
            </w:r>
          </w:p>
        </w:tc>
        <w:tc>
          <w:tcPr>
            <w:tcW w:w="2178"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PG&amp;E and Occidental Petroleum</w:t>
            </w:r>
          </w:p>
        </w:tc>
      </w:tr>
      <w:tr>
        <w:trPr/>
        <w:tc>
          <w:tcPr>
            <w:tcW w:w="2736" w:type="dxa"/>
            <w:tcBorders>
              <w:top w:val="single" w:sz="6" w:space="0" w:color="000000"/>
              <w:start w:val="single" w:sz="6" w:space="0" w:color="000000"/>
              <w:bottom w:val="single" w:sz="6" w:space="0" w:color="000000"/>
              <w:end w:val="single" w:sz="6" w:space="0" w:color="000000"/>
            </w:tcBorders>
          </w:tcPr>
          <w:p>
            <w:pPr>
              <w:pStyle w:val="Table"/>
              <w:spacing w:before="120" w:after="60"/>
              <w:rPr/>
            </w:pPr>
            <w:r>
              <w:rPr/>
              <w:t>Total</w:t>
            </w:r>
          </w:p>
        </w:tc>
        <w:tc>
          <w:tcPr>
            <w:tcW w:w="1962" w:type="dxa"/>
            <w:tcBorders>
              <w:top w:val="single" w:sz="6" w:space="0" w:color="000000"/>
              <w:start w:val="single" w:sz="6" w:space="0" w:color="000000"/>
              <w:bottom w:val="single" w:sz="6" w:space="0" w:color="000000"/>
              <w:end w:val="single" w:sz="6" w:space="0" w:color="000000"/>
            </w:tcBorders>
          </w:tcPr>
          <w:p>
            <w:pPr>
              <w:pStyle w:val="Table"/>
              <w:spacing w:before="120" w:after="60"/>
              <w:jc w:val="center"/>
              <w:rPr/>
            </w:pPr>
            <w:r>
              <w:rPr/>
              <w:t>680</w:t>
            </w:r>
          </w:p>
        </w:tc>
        <w:tc>
          <w:tcPr>
            <w:tcW w:w="2340" w:type="dxa"/>
            <w:tcBorders>
              <w:top w:val="single" w:sz="6" w:space="0" w:color="000000"/>
              <w:start w:val="single" w:sz="6" w:space="0" w:color="000000"/>
              <w:bottom w:val="single" w:sz="6" w:space="0" w:color="000000"/>
              <w:end w:val="single" w:sz="6" w:space="0" w:color="000000"/>
            </w:tcBorders>
          </w:tcPr>
          <w:p>
            <w:pPr>
              <w:pStyle w:val="Table"/>
              <w:snapToGrid w:val="false"/>
              <w:spacing w:before="120" w:after="60"/>
              <w:rPr/>
            </w:pPr>
            <w:r>
              <w:rPr/>
            </w:r>
          </w:p>
        </w:tc>
        <w:tc>
          <w:tcPr>
            <w:tcW w:w="2178" w:type="dxa"/>
            <w:tcBorders>
              <w:top w:val="single" w:sz="6" w:space="0" w:color="000000"/>
              <w:start w:val="single" w:sz="6" w:space="0" w:color="000000"/>
              <w:bottom w:val="single" w:sz="6" w:space="0" w:color="000000"/>
              <w:end w:val="single" w:sz="6" w:space="0" w:color="000000"/>
            </w:tcBorders>
          </w:tcPr>
          <w:p>
            <w:pPr>
              <w:pStyle w:val="Table"/>
              <w:snapToGrid w:val="false"/>
              <w:spacing w:before="120" w:after="60"/>
              <w:rPr/>
            </w:pPr>
            <w:r>
              <w:rPr/>
            </w:r>
          </w:p>
        </w:tc>
      </w:tr>
    </w:tbl>
    <w:p>
      <w:pPr>
        <w:pStyle w:val="Body1"/>
        <w:rPr/>
      </w:pPr>
      <w:r>
        <w:rPr/>
        <w:t>The 520 MMcf/d and 500 MMcf/d shown in the table above are the interconnection capacities of PG&amp;E/Occidental and Kern/Mojave, respectively.  The total Wheeler Ridge receipt point (i.e., take-away) capacity is 680 MMcf/d.  Thus, the total firm capacity sold at WR-North and WR-South cannot exceed 680 MMcf/d.  Over-subscriptions would first be reduced pro rata down to the capacities of each interconnection.  Then, if the receipt point was still over-subscribed, the two interconnections would be reduced pro rata down to the 680 MMcf/d of take-away capacity.  Thus, contract holders would determine the allocation of primary interconnection capacity between WR-North and WR-South.</w:t>
      </w:r>
    </w:p>
    <w:p>
      <w:pPr>
        <w:pStyle w:val="Body1"/>
        <w:rPr/>
      </w:pPr>
      <w:r>
        <w:rPr/>
        <w:t>This method of determining primary interconnection rights is consistent with the physical Kern/Mojave and PG&amp;E/Occidental interconnection capacities at Wheeler Ridge.  It also lets the market decide the appropriate mix of firm transmission contracts that designate Kern/Mojave or PG&amp;E/Occidental as the primary interconnection.</w:t>
      </w:r>
    </w:p>
    <w:p>
      <w:pPr>
        <w:pStyle w:val="Body1"/>
        <w:rPr/>
      </w:pPr>
      <w:r>
        <w:rPr/>
        <w:t>PG&amp;E’s proposal, in contrast to the Comprehensive Settlement’s approach would allow full use of the primary receipt point capacity at Wheeler Ridge.  Here is how PG&amp;E’s proposal would work using the same example, above, where shippers desire 300 MMcf/d of capacity from the Kern-Mojave system.  These shippers would contract for 300MMcf/d of primary receipt point access at W.R.-South.  This would still leave 380 MMcf/d of primary capacity within the Wheeler Ridge receipt point.  Market participants would there be able to contract for the entire 380 MMcf/d at W.R.-North or would be able to contract for up to the remaining physical interconnect capacity of 200 MMcf/d at W.R.-South.  This provides shippers greater flexibility and choice.</w:t>
      </w:r>
    </w:p>
    <w:p>
      <w:pPr>
        <w:pStyle w:val="Heading1"/>
        <w:ind w:firstLine="432" w:start="0"/>
        <w:rPr/>
      </w:pPr>
      <w:bookmarkStart w:id="6" w:name="__RefHeading___Toc482172806"/>
      <w:bookmarkEnd w:id="6"/>
      <w:r>
        <w:rPr/>
        <w:t>Conclusion</w:t>
      </w:r>
    </w:p>
    <w:p>
      <w:pPr>
        <w:pStyle w:val="Body1"/>
        <w:rPr/>
      </w:pPr>
      <w:r>
        <w:rPr/>
        <w:t>The receipt point access problems shippers and end-users of natural gas currently experience on the SoCalGas system will be improved if the Interim Settlement is adopted, especially the provisions that:</w:t>
      </w:r>
    </w:p>
    <w:p>
      <w:pPr>
        <w:pStyle w:val="Bullet1"/>
        <w:numPr>
          <w:ilvl w:val="0"/>
          <w:numId w:val="3"/>
        </w:numPr>
        <w:rPr/>
      </w:pPr>
      <w:r>
        <w:rPr/>
        <w:t>eliminate the existing “window” procedures and replace them with a system where daily receipt point capacities are set on maximum physical operating capacity;</w:t>
      </w:r>
    </w:p>
    <w:p>
      <w:pPr>
        <w:pStyle w:val="Bullet1"/>
        <w:numPr>
          <w:ilvl w:val="0"/>
          <w:numId w:val="3"/>
        </w:numPr>
        <w:rPr/>
      </w:pPr>
      <w:r>
        <w:rPr/>
        <w:t>establish Hector Road as a formal receipt point;</w:t>
      </w:r>
    </w:p>
    <w:p>
      <w:pPr>
        <w:pStyle w:val="Bullet1"/>
        <w:numPr>
          <w:ilvl w:val="0"/>
          <w:numId w:val="3"/>
        </w:numPr>
        <w:rPr/>
      </w:pPr>
      <w:r>
        <w:rPr/>
        <w:t>implement an Operational Flow Orders (OFOs) to replace the existing over-nomination event provisions.</w:t>
      </w:r>
    </w:p>
    <w:p>
      <w:pPr>
        <w:pStyle w:val="Body1"/>
        <w:rPr/>
      </w:pPr>
      <w:r>
        <w:rPr/>
        <w:t>These provisions are also included in the Post-Interim Settlement and are largely included as part of the short-term solution in the Comprehensive Settlement.  These provisions should therefore be implemented as soon as possible.</w:t>
      </w:r>
    </w:p>
    <w:p>
      <w:pPr>
        <w:pStyle w:val="Body1"/>
        <w:rPr/>
      </w:pPr>
      <w:r>
        <w:rPr/>
        <w:t>The Comprehensive Settlement also contains a long-term solution that establishes firm, unbundled, receipt-point-specific transmission rights.  Conceptually, this is an improvement over the Interim Settlement; however, the manner in which the Comprehensive Settlement would establish primary firm rights at Wheeler Ridge should be modified to allow market-determined allocations and to be consistent with the physical interconnection capacities of PG&amp;E/Occidental and Kern/Mojave at Wheeler Ridge.</w:t>
      </w:r>
    </w:p>
    <w:sectPr>
      <w:headerReference w:type="default" r:id="rId17"/>
      <w:headerReference w:type="first" r:id="rId18"/>
      <w:footerReference w:type="default" r:id="rId19"/>
      <w:footerReference w:type="first" r:id="rId20"/>
      <w:footnotePr>
        <w:numFmt w:val="decimal"/>
      </w:footnotePr>
      <w:type w:val="nextPage"/>
      <w:pgSz w:w="12240" w:h="15840"/>
      <w:pgMar w:left="1440" w:right="1440" w:gutter="360" w:header="720" w:top="1008" w:footer="432" w:bottom="1008"/>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i</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fldChar w:fldCharType="begin"/>
    </w:r>
    <w:r>
      <w:rPr/>
      <w:instrText xml:space="preserve"> PAGE </w:instrText>
    </w:r>
    <w:r>
      <w:rPr/>
      <w:fldChar w:fldCharType="separate"/>
    </w:r>
    <w:r>
      <w:rPr/>
      <w:t>5</w:t>
    </w:r>
    <w:r>
      <w:rPr/>
      <w:fldChar w:fldCharType="end"/>
    </w: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fldChar w:fldCharType="begin"/>
    </w:r>
    <w:r>
      <w:rPr/>
      <w:instrText xml:space="preserve"> PAGE </w:instrText>
    </w:r>
    <w:r>
      <w:rPr/>
      <w:fldChar w:fldCharType="separate"/>
    </w:r>
    <w:r>
      <w:rPr/>
      <w:t>6</w:t>
    </w:r>
    <w:r>
      <w:rPr/>
      <w:fldChar w:fldCharType="end"/>
    </w: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fldChar w:fldCharType="begin"/>
    </w:r>
    <w:r>
      <w:rPr/>
      <w:instrText xml:space="preserve"> PAGE </w:instrText>
    </w:r>
    <w:r>
      <w:rPr/>
      <w:fldChar w:fldCharType="separate"/>
    </w:r>
    <w:r>
      <w:rPr/>
      <w:t>10</w:t>
    </w:r>
    <w:r>
      <w:rPr/>
      <w:fldChar w:fldCharType="end"/>
    </w:r>
    <w: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SoCalGas’ current receipt point capacity allocation procedures are commonly referred to as “window” procedures.  “Window” simply refers to the daily-determined amounts of capacity at each receipt point that SoCalGas allows shippers and customers on its system to use.</w:t>
      </w:r>
    </w:p>
  </w:footnote>
  <w:footnote w:id="3">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PG&amp;E addressed these issues and other problems on the SoCalGas system in the Commission’s Gas Strategy Rulemaking (R.98</w:t>
        <w:noBreakHyphen/>
        <w:t>01</w:t>
        <w:noBreakHyphen/>
        <w:t xml:space="preserve">011).  </w:t>
      </w:r>
      <w:r>
        <w:rPr>
          <w:u w:val="single"/>
        </w:rPr>
        <w:t>See</w:t>
      </w:r>
      <w:r>
        <w:rPr/>
        <w:t>, “Pacific Gas and Electric Company’s Market Conditions Report Rebuttal Testimony,” September 1, 1998, pages 7</w:t>
        <w:noBreakHyphen/>
        <w:t>6 through 7</w:t>
        <w:noBreakHyphen/>
        <w:t>14.</w:t>
      </w:r>
    </w:p>
  </w:footnote>
  <w:footnote w:id="4">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These settlements are the:  (1) “Interim Settlement Enhancing and Enabling Competitive Markets on the SoCalGas System” (Interim Settlement), filed on December 27, 1999; (2) “Post</w:t>
        <w:noBreakHyphen/>
        <w:t>Interim Settlement Agreement” (Post</w:t>
        <w:noBreakHyphen/>
        <w:t>Interim Settlement), filed April 3, 2000; and (3) “Comprehensive Gas OII Settlement Agreement for Southern California Gas Company and San Diego Gas &amp; Electric Company” (Comprehensive Settlement), filed April 17, 2000.</w:t>
      </w:r>
    </w:p>
  </w:footnote>
  <w:footnote w:id="5">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When the combined capacity of the upstream interconnects exceeds the downstream take</w:t>
        <w:noBreakHyphen/>
        <w:t>away capacity, these problems may be exacerbated.  The relative magnitude of this mismatch contributes to the magnitude of the problems potentially created for market participants.  However, even if the downstream capacity equals (or exceeds) the combined upstream interconnect capacity, the primary-secondary designation still provides the same value:  prioritizing shipper nominations at each individual interconnect.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b w:val="false"/>
      <w:i w:val="false"/>
      <w:color w:val="000000"/>
      <w:sz w:val="24"/>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6z0">
    <w:name w:val="WW8Num26z0"/>
    <w:qFormat/>
    <w:rPr>
      <w:rFonts w:ascii="Symbol" w:hAnsi="Symbol" w:cs="Symbol"/>
      <w:color w:val="000000"/>
      <w:sz w:val="20"/>
    </w:rPr>
  </w:style>
  <w:style w:type="character" w:styleId="WW8Num27z0">
    <w:name w:val="WW8Num27z0"/>
    <w:qFormat/>
    <w:rPr>
      <w:b w:val="false"/>
      <w:i w:val="false"/>
      <w:color w:val="000000"/>
      <w:sz w:val="24"/>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b w:val="false"/>
      <w:i w:val="false"/>
      <w:color w:val="000000"/>
      <w:sz w:val="24"/>
    </w:rPr>
  </w:style>
  <w:style w:type="character" w:styleId="WW8Num34z0">
    <w:name w:val="WW8Num34z0"/>
    <w:qFormat/>
    <w:rPr>
      <w:rFonts w:ascii="Symbol" w:hAnsi="Symbol" w:cs="Symbol"/>
      <w:color w:val="000000"/>
      <w:sz w:val="20"/>
    </w:rPr>
  </w:style>
  <w:style w:type="character" w:styleId="WW8Num35z0">
    <w:name w:val="WW8Num35z0"/>
    <w:qFormat/>
    <w:rPr>
      <w:rFonts w:ascii="Symbol" w:hAnsi="Symbol" w:cs="Symbol"/>
      <w:color w:val="000000"/>
      <w:sz w:val="20"/>
    </w:rPr>
  </w:style>
  <w:style w:type="character" w:styleId="WW8Num36z0">
    <w:name w:val="WW8Num36z0"/>
    <w:qFormat/>
    <w:rPr>
      <w:rFonts w:ascii="Symbol" w:hAnsi="Symbol" w:cs="Symbol"/>
      <w:color w:val="000000"/>
      <w:sz w:val="20"/>
    </w:rPr>
  </w:style>
  <w:style w:type="character" w:styleId="WW8Num37z0">
    <w:name w:val="WW8Num37z0"/>
    <w:qFormat/>
    <w:rPr>
      <w:rFonts w:ascii="Symbol" w:hAnsi="Symbol" w:cs="Symbol"/>
      <w:color w:val="000000"/>
      <w:sz w:val="20"/>
    </w:rPr>
  </w:style>
  <w:style w:type="character" w:styleId="WW8Num38z0">
    <w:name w:val="WW8Num38z0"/>
    <w:qFormat/>
    <w:rPr>
      <w:rFonts w:ascii="Symbol" w:hAnsi="Symbol" w:cs="Symbol"/>
      <w:color w:val="000000"/>
      <w:sz w:val="20"/>
    </w:rPr>
  </w:style>
  <w:style w:type="character" w:styleId="WW8Num39z0">
    <w:name w:val="WW8Num39z0"/>
    <w:qFormat/>
    <w:rPr>
      <w:rFonts w:ascii="Courier New" w:hAnsi="Courier New" w:cs="Courier New"/>
      <w:sz w:val="20"/>
    </w:rPr>
  </w:style>
  <w:style w:type="character" w:styleId="WW8Num40z0">
    <w:name w:val="WW8Num40z0"/>
    <w:qFormat/>
    <w:rPr>
      <w:rFonts w:ascii="Symbol" w:hAnsi="Symbol" w:cs="Symbol"/>
      <w:color w:val="000000"/>
      <w:sz w:val="20"/>
    </w:rPr>
  </w:style>
  <w:style w:type="character" w:styleId="WW8Num41z0">
    <w:name w:val="WW8Num41z0"/>
    <w:qFormat/>
    <w:rPr>
      <w:rFonts w:ascii="Symbol" w:hAnsi="Symbol" w:cs="Symbol"/>
      <w:color w:val="000000"/>
      <w:sz w:val="20"/>
    </w:rPr>
  </w:style>
  <w:style w:type="character" w:styleId="WW8Num42z0">
    <w:name w:val="WW8Num42z0"/>
    <w:qFormat/>
    <w:rPr>
      <w:rFonts w:ascii="Symbol" w:hAnsi="Symbol" w:cs="Symbol"/>
      <w:color w:val="000000"/>
      <w:sz w:val="20"/>
    </w:rPr>
  </w:style>
  <w:style w:type="character" w:styleId="WW8Num43z0">
    <w:name w:val="WW8Num43z0"/>
    <w:qFormat/>
    <w:rPr/>
  </w:style>
  <w:style w:type="character" w:styleId="WW8Num44z0">
    <w:name w:val="WW8Num44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WW8NumSt49z0">
    <w:name w:val="WW8NumSt4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firstLine="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ind w:hanging="0" w:start="0" w:end="0"/>
    </w:pPr>
    <w:rPr>
      <w:b w:val="false"/>
      <w:sz w:val="24"/>
    </w:rPr>
  </w:style>
  <w:style w:type="paragraph" w:styleId="BodyTextIndent3">
    <w:name w:val="Body Text Indent 3"/>
    <w:basedOn w:val="Normal"/>
    <w:qFormat/>
    <w:pPr>
      <w:tabs>
        <w:tab w:val="clear" w:pos="720"/>
        <w:tab w:val="left" w:pos="792" w:leader="none"/>
      </w:tabs>
      <w:spacing w:before="120" w:after="0"/>
      <w:ind w:firstLine="720" w:start="0" w:end="0"/>
    </w:pPr>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PlainText">
    <w:name w:val="Plain Text"/>
    <w:basedOn w:val="Normal"/>
    <w:qFormat/>
    <w:pPr>
      <w:spacing w:lineRule="auto" w:line="240"/>
      <w:ind w:hanging="0" w:start="0" w:end="0"/>
    </w:pPr>
    <w:rPr>
      <w:rFonts w:ascii="Courier New" w:hAnsi="Courier New" w:cs="Courier New"/>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package" Target="embeddings/oleObject1.pptx"/><Relationship Id="rId12" Type="http://schemas.openxmlformats.org/officeDocument/2006/relationships/image" Target="media/image1.wmf"/><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2000-05-04T16:54:00Z</dcterms:created>
  <dc:creator>Regulatory Relations</dc:creator>
  <dc:description/>
  <dc:language>en-CA</dc:language>
  <cp:lastModifiedBy>Peter Poon</cp:lastModifiedBy>
  <cp:lastPrinted>2000-05-05T15:09:00Z</cp:lastPrinted>
  <dcterms:modified xsi:type="dcterms:W3CDTF">2000-05-05T19:39:00Z</dcterms:modified>
  <cp:revision>32</cp:revision>
  <dc:subject/>
  <dc:title> TITLE </dc:title>
</cp:coreProperties>
</file>