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tabs>
                <w:tab w:val="clear" w:pos="720"/>
                <w:tab w:val="left" w:pos="1440" w:leader="none"/>
              </w:tabs>
              <w:rPr>
                <w:rFonts w:ascii="Arial" w:hAnsi="Arial" w:cs="Arial"/>
                <w:sz w:val="24"/>
              </w:rPr>
            </w:pPr>
            <w:r>
              <w:rPr>
                <w:rFonts w:eastAsia="Arial" w:cs="Arial" w:ascii="Arial" w:hAnsi="Arial"/>
                <w:sz w:val="24"/>
              </w:rPr>
              <w:t xml:space="preserve"> </w:t>
            </w:r>
            <w:r>
              <w:rPr>
                <w:rFonts w:cs="Arial" w:ascii="Arial" w:hAnsi="Arial"/>
                <w:sz w:val="24"/>
              </w:rPr>
              <w:tab/>
              <w:t>Randy Young</w:t>
            </w:r>
          </w:p>
          <w:p>
            <w:pPr>
              <w:pStyle w:val="Normal"/>
              <w:rPr>
                <w:rFonts w:ascii="Arial" w:hAnsi="Arial" w:cs="Arial"/>
                <w:sz w:val="24"/>
              </w:rPr>
            </w:pPr>
            <w:r>
              <w:rPr>
                <w:rFonts w:cs="Arial" w:ascii="Arial" w:hAnsi="Arial"/>
                <w:sz w:val="24"/>
              </w:rPr>
            </w:r>
          </w:p>
        </w:tc>
      </w:tr>
      <w:tr>
        <w:trPr>
          <w:trHeight w:val="873"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pPr>
            <w:r>
              <w:rPr/>
              <w:tab/>
            </w:r>
            <w:r>
              <w:rPr>
                <w:rFonts w:cs="Arial" w:ascii="Arial" w:hAnsi="Arial"/>
                <w:sz w:val="24"/>
              </w:rPr>
              <w:t xml:space="preserve">Bob Williams </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October 16, 2000</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South America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being handled by us.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Transportadora De Gas Del Sur S.A. ("TGS")</w:t>
      </w:r>
    </w:p>
    <w:p>
      <w:pPr>
        <w:pStyle w:val="Normal"/>
        <w:jc w:val="center"/>
        <w:rPr>
          <w:rFonts w:ascii="Arial" w:hAnsi="Arial" w:cs="Arial"/>
          <w:sz w:val="24"/>
        </w:rPr>
      </w:pPr>
      <w:r>
        <w:rPr>
          <w:rFonts w:cs="Arial" w:ascii="Arial" w:hAnsi="Arial"/>
          <w:sz w:val="24"/>
        </w:rPr>
        <w:t>(Argentina)</w:t>
      </w:r>
    </w:p>
    <w:p>
      <w:pPr>
        <w:pStyle w:val="Normal"/>
        <w:jc w:val="both"/>
        <w:rPr>
          <w:rFonts w:ascii="Arial" w:hAnsi="Arial" w:cs="Arial"/>
          <w:sz w:val="24"/>
        </w:rPr>
      </w:pPr>
      <w:r>
        <w:rPr>
          <w:rFonts w:cs="Arial" w:ascii="Arial" w:hAnsi="Arial"/>
          <w:sz w:val="24"/>
        </w:rPr>
      </w:r>
    </w:p>
    <w:p>
      <w:pPr>
        <w:pStyle w:val="Heading6"/>
        <w:ind w:hanging="0" w:start="0"/>
        <w:rPr/>
      </w:pPr>
      <w:r>
        <w:rPr/>
        <w:t>I.</w:t>
        <w:tab/>
        <w:t>LITIGATION/ARBITRATION</w:t>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CIESA Income Tax Appeal</w:t>
        <w:tab/>
        <w:t>(Updated)</w:t>
      </w:r>
    </w:p>
    <w:p>
      <w:pPr>
        <w:pStyle w:val="Normal"/>
        <w:ind w:start="720" w:end="0"/>
        <w:jc w:val="both"/>
        <w:rPr>
          <w:rFonts w:ascii="Arial" w:hAnsi="Arial" w:cs="Arial"/>
          <w:sz w:val="24"/>
        </w:rPr>
      </w:pPr>
      <w:r>
        <w:rPr>
          <w:rFonts w:cs="Arial" w:ascii="Arial" w:hAnsi="Arial"/>
          <w:sz w:val="24"/>
        </w:rPr>
        <w:t>(Hope, Duggan &amp; Silva) (P$8.8 million/US$8.8 million) (Enron’s Interest: 50%)</w:t>
      </w:r>
    </w:p>
    <w:p>
      <w:pPr>
        <w:pStyle w:val="Normal"/>
        <w:jc w:val="both"/>
        <w:rPr>
          <w:rFonts w:ascii="Arial" w:hAnsi="Arial" w:cs="Arial"/>
          <w:sz w:val="24"/>
        </w:rPr>
      </w:pPr>
      <w:r>
        <w:rPr>
          <w:rFonts w:cs="Arial" w:ascii="Arial" w:hAnsi="Arial"/>
          <w:sz w:val="24"/>
        </w:rPr>
      </w:r>
    </w:p>
    <w:p>
      <w:pPr>
        <w:pStyle w:val="Normal"/>
        <w:numPr>
          <w:ilvl w:val="0"/>
          <w:numId w:val="14"/>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A proposed tax assessment for $8.8 million Argentine pesos ($2.3 million tax, $4.9 million interest, and $1.6 million penalty) was issued against CIESA on gains CIESA allegedly realized using discounted Argentine government bonds as part of CIESA’s 1992 purchase of a 70% interest in TGS. </w:t>
      </w:r>
    </w:p>
    <w:p>
      <w:pPr>
        <w:pStyle w:val="Normal"/>
        <w:numPr>
          <w:ilvl w:val="0"/>
          <w:numId w:val="55"/>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government alleges that the value of the TGS shares purchased by CIESA exceeded the discounted Argentine tax basis in the Argentine government bonds resulting in a taxable gain.</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On or about October 1, 1999, CEISA denied liability for the assessed tax. </w:t>
      </w:r>
    </w:p>
    <w:p>
      <w:pPr>
        <w:pStyle w:val="Normal"/>
        <w:numPr>
          <w:ilvl w:val="0"/>
          <w:numId w:val="57"/>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CIESA filed its petition against the assessment in the Argentine tax court in February 2000.</w:t>
      </w:r>
    </w:p>
    <w:p>
      <w:pPr>
        <w:pStyle w:val="Normal"/>
        <w:numPr>
          <w:ilvl w:val="0"/>
          <w:numId w:val="57"/>
        </w:numPr>
        <w:tabs>
          <w:tab w:val="clear" w:pos="720"/>
          <w:tab w:val="left" w:pos="1080" w:leader="none"/>
          <w:tab w:val="left" w:pos="7740" w:leader="none"/>
        </w:tabs>
        <w:ind w:hanging="360" w:start="1080" w:end="0"/>
        <w:jc w:val="both"/>
        <w:rPr>
          <w:rFonts w:ascii="Arial" w:hAnsi="Arial" w:cs="Arial"/>
          <w:b/>
          <w:sz w:val="24"/>
        </w:rPr>
      </w:pPr>
      <w:r>
        <w:rPr>
          <w:rFonts w:cs="Arial" w:ascii="Arial" w:hAnsi="Arial"/>
          <w:b/>
          <w:sz w:val="24"/>
        </w:rPr>
        <w:t>The Argentine government has filed its response to CIESA’s petition which repeats allegations against CIESA regarding taxable gains.</w:t>
      </w:r>
    </w:p>
    <w:p>
      <w:pPr>
        <w:pStyle w:val="Normal"/>
        <w:numPr>
          <w:ilvl w:val="0"/>
          <w:numId w:val="57"/>
        </w:numPr>
        <w:tabs>
          <w:tab w:val="clear" w:pos="720"/>
          <w:tab w:val="left" w:pos="1080" w:leader="none"/>
          <w:tab w:val="left" w:pos="7740" w:leader="none"/>
        </w:tabs>
        <w:ind w:hanging="360" w:start="1080" w:end="0"/>
        <w:jc w:val="both"/>
        <w:rPr>
          <w:rFonts w:ascii="Arial" w:hAnsi="Arial" w:cs="Arial"/>
          <w:b/>
          <w:sz w:val="24"/>
        </w:rPr>
      </w:pPr>
      <w:r>
        <w:rPr>
          <w:rFonts w:cs="Arial" w:ascii="Arial" w:hAnsi="Arial"/>
          <w:b/>
          <w:sz w:val="24"/>
        </w:rPr>
        <w:t>The parties are commencing discovery.</w:t>
      </w:r>
    </w:p>
    <w:p>
      <w:pPr>
        <w:pStyle w:val="Normal"/>
        <w:numPr>
          <w:ilvl w:val="0"/>
          <w:numId w:val="7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If CIESA loses in tax court, it has a right to appeal to the Court of Appeals and ultimately to the Supreme Court.  Appeals in either of these courts would require CIESA to pay the assessed tax and any interest into the court’s registry. </w:t>
      </w:r>
    </w:p>
    <w:p>
      <w:pPr>
        <w:pStyle w:val="Normal"/>
        <w:numPr>
          <w:ilvl w:val="0"/>
          <w:numId w:val="48"/>
        </w:numPr>
        <w:tabs>
          <w:tab w:val="clear" w:pos="720"/>
          <w:tab w:val="left" w:pos="1080" w:leader="none"/>
          <w:tab w:val="left" w:pos="7740" w:leader="none"/>
        </w:tabs>
        <w:ind w:hanging="360" w:start="1080" w:end="0"/>
        <w:jc w:val="both"/>
        <w:rPr>
          <w:rFonts w:ascii="Arial" w:hAnsi="Arial" w:cs="Arial"/>
          <w:sz w:val="24"/>
        </w:rPr>
      </w:pPr>
      <w:r>
        <w:rPr>
          <w:rFonts w:cs="Arial" w:ascii="Arial" w:hAnsi="Arial"/>
          <w:i/>
          <w:sz w:val="24"/>
        </w:rPr>
        <w:t>Note: This matter is being managed by the Enron Corp. Tax Department.</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TGS v. The Province of Santa Cruz</w:t>
      </w:r>
      <w:r>
        <w:rPr>
          <w:rFonts w:cs="Arial" w:ascii="Arial" w:hAnsi="Arial"/>
          <w:b/>
          <w:sz w:val="24"/>
        </w:rPr>
        <w:tab/>
        <w:t>(Not Updated)</w:t>
      </w:r>
    </w:p>
    <w:p>
      <w:pPr>
        <w:pStyle w:val="Normal"/>
        <w:ind w:start="720" w:end="0"/>
        <w:rPr>
          <w:rFonts w:ascii="Arial" w:hAnsi="Arial" w:cs="Arial"/>
          <w:sz w:val="24"/>
        </w:rPr>
      </w:pPr>
      <w:r>
        <w:rPr>
          <w:rFonts w:cs="Arial" w:ascii="Arial" w:hAnsi="Arial"/>
          <w:sz w:val="24"/>
        </w:rPr>
        <w:t>(Federal Supreme Court of Argentina) (Enrique Bulit Goni) ($17 million plus $13.8 million interest) (Enron's Interest: 35%)</w:t>
      </w:r>
    </w:p>
    <w:p>
      <w:pPr>
        <w:pStyle w:val="Normal"/>
        <w:ind w:start="1080" w:end="0"/>
        <w:rPr>
          <w:rFonts w:ascii="Arial" w:hAnsi="Arial" w:cs="Arial"/>
          <w:sz w:val="24"/>
        </w:rPr>
      </w:pPr>
      <w:r>
        <w:rPr>
          <w:rFonts w:cs="Arial" w:ascii="Arial" w:hAnsi="Arial"/>
          <w:sz w:val="24"/>
        </w:rPr>
      </w:r>
    </w:p>
    <w:p>
      <w:pPr>
        <w:pStyle w:val="Normal"/>
        <w:numPr>
          <w:ilvl w:val="0"/>
          <w:numId w:val="25"/>
        </w:numPr>
        <w:ind w:hanging="360" w:start="1080" w:end="0"/>
        <w:rPr>
          <w:rFonts w:ascii="Arial" w:hAnsi="Arial" w:cs="Arial"/>
          <w:sz w:val="24"/>
        </w:rPr>
      </w:pPr>
      <w:r>
        <w:rPr>
          <w:rFonts w:cs="Arial" w:ascii="Arial" w:hAnsi="Arial"/>
          <w:sz w:val="24"/>
        </w:rPr>
        <w:t>TGS filed a declaratory judgment action against the Province of Santa Cruz in the Supreme Court of Argentina to invalidate illegitimate stamp taxes assessed against it.</w:t>
      </w:r>
    </w:p>
    <w:p>
      <w:pPr>
        <w:pStyle w:val="Normal"/>
        <w:numPr>
          <w:ilvl w:val="0"/>
          <w:numId w:val="25"/>
        </w:numPr>
        <w:ind w:hanging="360" w:start="1080" w:end="0"/>
        <w:rPr>
          <w:rFonts w:ascii="Arial" w:hAnsi="Arial" w:cs="Arial"/>
          <w:sz w:val="24"/>
        </w:rPr>
      </w:pPr>
      <w:r>
        <w:rPr>
          <w:rFonts w:cs="Arial" w:ascii="Arial" w:hAnsi="Arial"/>
          <w:sz w:val="24"/>
        </w:rPr>
        <w:t>TGS claims that Santa Cruz assessed these stamp taxes on the basis of an inappropriate interpretation of the tax code applied retroactively five years plus interest and penalties.</w:t>
      </w:r>
    </w:p>
    <w:p>
      <w:pPr>
        <w:pStyle w:val="Normal"/>
        <w:numPr>
          <w:ilvl w:val="0"/>
          <w:numId w:val="25"/>
        </w:numPr>
        <w:ind w:hanging="360" w:start="1080" w:end="0"/>
        <w:rPr>
          <w:rFonts w:ascii="Arial" w:hAnsi="Arial" w:cs="Arial"/>
          <w:sz w:val="24"/>
        </w:rPr>
      </w:pPr>
      <w:r>
        <w:rPr>
          <w:rFonts w:cs="Arial" w:ascii="Arial" w:hAnsi="Arial"/>
          <w:sz w:val="24"/>
        </w:rPr>
        <w:t xml:space="preserve">In July of 2000 the Supreme Court preliminarily agreed to hear the case.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Gas del Estado v. TGS</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 xml:space="preserve">(National Court of Appeals of Argentina for Administrative Disputes) </w:t>
      </w:r>
    </w:p>
    <w:p>
      <w:pPr>
        <w:pStyle w:val="Normal"/>
        <w:keepNext w:val="true"/>
        <w:keepLines/>
        <w:tabs>
          <w:tab w:val="clear" w:pos="720"/>
          <w:tab w:val="left" w:pos="7740" w:leader="none"/>
        </w:tabs>
        <w:ind w:start="720" w:end="0"/>
        <w:rPr/>
      </w:pPr>
      <w:r>
        <w:rPr>
          <w:rFonts w:cs="Arial" w:ascii="Arial" w:hAnsi="Arial"/>
          <w:sz w:val="24"/>
        </w:rPr>
        <w:t xml:space="preserve">(Dr. </w:t>
      </w:r>
      <w:r>
        <w:rPr>
          <w:rFonts w:cs="Arial" w:ascii="Arial" w:hAnsi="Arial"/>
          <w:color w:val="000000"/>
          <w:sz w:val="24"/>
        </w:rPr>
        <w:t xml:space="preserve">Jorge Bacqué) (reimbursement of $23 million) </w:t>
      </w:r>
      <w:r>
        <w:rPr>
          <w:rFonts w:cs="Arial" w:ascii="Arial" w:hAnsi="Arial"/>
          <w:sz w:val="24"/>
        </w:rPr>
        <w:t>(Enron’s Interest: 35%)</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r>
    </w:p>
    <w:p>
      <w:pPr>
        <w:pStyle w:val="Normal"/>
        <w:keepNext w:val="true"/>
        <w:keepLines/>
        <w:numPr>
          <w:ilvl w:val="0"/>
          <w:numId w:val="6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In April 1996, Gas del Estado (GdE) filed suit against TGS seeking reimbursement of US$23 million for two compressor plants that were built and transferred to TGS after GdE's privatization.  </w:t>
      </w:r>
    </w:p>
    <w:p>
      <w:pPr>
        <w:pStyle w:val="Normal"/>
        <w:numPr>
          <w:ilvl w:val="0"/>
          <w:numId w:val="38"/>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defended the suit claiming the compressor plants were included in list of assets transferred to TGS according to the privatization agreement, and were paid for at that time. </w:t>
      </w:r>
    </w:p>
    <w:p>
      <w:pPr>
        <w:pStyle w:val="Normal"/>
        <w:numPr>
          <w:ilvl w:val="0"/>
          <w:numId w:val="6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court of first instance ruled in favor of GdE.</w:t>
      </w:r>
    </w:p>
    <w:p>
      <w:pPr>
        <w:pStyle w:val="Normal"/>
        <w:numPr>
          <w:ilvl w:val="0"/>
          <w:numId w:val="36"/>
        </w:numPr>
        <w:tabs>
          <w:tab w:val="clear" w:pos="720"/>
          <w:tab w:val="left" w:pos="1080" w:leader="none"/>
          <w:tab w:val="left" w:pos="7740" w:leader="none"/>
        </w:tabs>
        <w:ind w:hanging="360" w:start="1080" w:end="0"/>
        <w:rPr>
          <w:rFonts w:ascii="Arial" w:hAnsi="Arial" w:cs="Arial"/>
          <w:b/>
          <w:sz w:val="24"/>
        </w:rPr>
      </w:pPr>
      <w:r>
        <w:rPr>
          <w:rFonts w:cs="Arial" w:ascii="Arial" w:hAnsi="Arial"/>
          <w:sz w:val="24"/>
        </w:rPr>
        <w:t>TGS has appealed this ruling and is awaiting response from GdE.  A decision is expected by December, 2000.</w:t>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PPI Tarriff Increase</w:t>
      </w:r>
      <w:r>
        <w:rPr>
          <w:rFonts w:cs="Arial" w:ascii="Arial" w:hAnsi="Arial"/>
          <w:b/>
          <w:sz w:val="24"/>
        </w:rPr>
        <w:tab/>
        <w:t>(Not Updated)</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t>(Argentina Federal District Court on Administrative Matters) ($30 million) (Enron’s Interest: 35%)</w:t>
      </w:r>
    </w:p>
    <w:p>
      <w:pPr>
        <w:pStyle w:val="Normal"/>
        <w:keepNext w:val="true"/>
        <w:keepLines/>
        <w:tabs>
          <w:tab w:val="clear" w:pos="720"/>
          <w:tab w:val="left" w:pos="7740" w:leader="none"/>
        </w:tabs>
        <w:ind w:start="720" w:end="0"/>
        <w:rPr>
          <w:rFonts w:ascii="Arial" w:hAnsi="Arial" w:cs="Arial"/>
          <w:sz w:val="24"/>
        </w:rPr>
      </w:pPr>
      <w:r>
        <w:rPr>
          <w:rFonts w:cs="Arial" w:ascii="Arial" w:hAnsi="Arial"/>
          <w:sz w:val="24"/>
        </w:rPr>
      </w:r>
    </w:p>
    <w:p>
      <w:pPr>
        <w:pStyle w:val="Normal"/>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was recently denied its right under Argentine law and the privatization agreement to increase its tarriff based on the Producer Price Index (PPI) in the U.S.  Since the privatization of Gas del Estado in 1992, TGS has increased its tarriff every 6 months in accordance with the PPI, generally by approximately .05%.  Because of the increase in oil prices in the U.S. in 1999, the PPI increased 3% in January 2000.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At the federal government’s request, TGS and others entered into an executive decree to defer the PPI tarriff  increase until July 2000.  Unfortunately, the PPI did not decrease as the federal government expected, but increased another 5.8%.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The Argentina Ombudsman filed an injunction to prevent TGS and others from increasing the tarriff.  The impact on TGS is approximately $30M.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The Ministry of Economy and ENARGAS have appealed the decision.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TGS has not been served with the injunction. </w:t>
      </w:r>
    </w:p>
    <w:p>
      <w:pPr>
        <w:pStyle w:val="Normal"/>
        <w:keepNext w:val="true"/>
        <w:keepLines/>
        <w:numPr>
          <w:ilvl w:val="0"/>
          <w:numId w:val="2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 BIT claim and local remedies are under consideration.</w:t>
      </w:r>
    </w:p>
    <w:p>
      <w:pPr>
        <w:pStyle w:val="Normal"/>
        <w:tabs>
          <w:tab w:val="clear" w:pos="720"/>
          <w:tab w:val="left" w:pos="7740" w:leader="none"/>
        </w:tabs>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Heading6"/>
        <w:numPr>
          <w:ilvl w:val="0"/>
          <w:numId w:val="66"/>
        </w:numPr>
        <w:rPr/>
      </w:pPr>
      <w:r>
        <w:rPr/>
        <w:t>CLAIMS/DISPUTES</w:t>
      </w:r>
    </w:p>
    <w:p>
      <w:pPr>
        <w:pStyle w:val="Normal"/>
        <w:rPr/>
      </w:pPr>
      <w:r>
        <w:rPr/>
      </w:r>
    </w:p>
    <w:p>
      <w:pPr>
        <w:pStyle w:val="Normal"/>
        <w:tabs>
          <w:tab w:val="clear" w:pos="720"/>
          <w:tab w:val="left" w:pos="7740" w:leader="none"/>
        </w:tabs>
        <w:ind w:start="720" w:end="0"/>
        <w:jc w:val="both"/>
        <w:rPr>
          <w:rFonts w:ascii="Arial" w:hAnsi="Arial" w:cs="Arial"/>
          <w:b/>
          <w:i/>
          <w:i/>
          <w:sz w:val="24"/>
        </w:rPr>
      </w:pPr>
      <w:r>
        <w:rPr>
          <w:rFonts w:cs="Arial" w:ascii="Arial" w:hAnsi="Arial"/>
          <w:b/>
          <w:sz w:val="24"/>
        </w:rPr>
        <w:t>Argentina Stamp Tax Matters</w:t>
      </w:r>
      <w:r>
        <w:rPr>
          <w:rFonts w:cs="Arial" w:ascii="Arial" w:hAnsi="Arial"/>
          <w:b/>
          <w:i/>
          <w:sz w:val="24"/>
        </w:rPr>
        <w:tab/>
      </w:r>
      <w:r>
        <w:rPr>
          <w:rFonts w:cs="Arial" w:ascii="Arial" w:hAnsi="Arial"/>
          <w:b/>
          <w:sz w:val="24"/>
        </w:rPr>
        <w:t>(Not Updated)</w:t>
      </w:r>
    </w:p>
    <w:p>
      <w:pPr>
        <w:pStyle w:val="Normal"/>
        <w:ind w:start="720" w:end="0"/>
        <w:jc w:val="both"/>
        <w:rPr>
          <w:rFonts w:ascii="Arial" w:hAnsi="Arial" w:cs="Arial"/>
          <w:sz w:val="24"/>
        </w:rPr>
      </w:pPr>
      <w:r>
        <w:rPr>
          <w:rFonts w:cs="Arial" w:ascii="Arial" w:hAnsi="Arial"/>
          <w:sz w:val="24"/>
        </w:rPr>
        <w:t>(Cristian Rosso Alba/Hope, Duggan &amp; Silva) (Guido Tawil/M.&amp;M. Bomchil) (Doak Bishop/King &amp; Spalding) ($663 million as of June 30, 2000) (Enron’s Interest: 35%)</w:t>
      </w:r>
    </w:p>
    <w:p>
      <w:pPr>
        <w:pStyle w:val="Normal"/>
        <w:tabs>
          <w:tab w:val="clear" w:pos="720"/>
          <w:tab w:val="left" w:pos="1080" w:leader="none"/>
          <w:tab w:val="left" w:pos="7740" w:leader="none"/>
        </w:tabs>
        <w:ind w:start="360" w:end="0"/>
        <w:jc w:val="both"/>
        <w:rPr>
          <w:rFonts w:ascii="Arial" w:hAnsi="Arial" w:cs="Arial"/>
          <w:sz w:val="24"/>
        </w:rPr>
      </w:pPr>
      <w:r>
        <w:rPr>
          <w:rFonts w:cs="Arial" w:ascii="Arial" w:hAnsi="Arial"/>
          <w:sz w:val="24"/>
        </w:rPr>
      </w:r>
    </w:p>
    <w:p>
      <w:pPr>
        <w:pStyle w:val="Normal"/>
        <w:numPr>
          <w:ilvl w:val="0"/>
          <w:numId w:val="62"/>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Argentine law imposes a stamp tax on written contracts.  In the past several years, several of the provincial governments have adopted a new and broader interpretation of the tax's application.  These provinces--Rio Negro, Neuquen, and Santa Cruz--have sought to apply this interpretation retroactively.  For TGS, the Enron company most affected, the assessments total $153 million in taxes, $185 million in interest, and $320 million in potential</w:t>
      </w:r>
      <w:r>
        <w:rPr>
          <w:rFonts w:cs="Arial" w:ascii="Arial" w:hAnsi="Arial"/>
          <w:b/>
          <w:color w:val="000000"/>
          <w:sz w:val="24"/>
        </w:rPr>
        <w:t xml:space="preserve"> </w:t>
      </w:r>
      <w:r>
        <w:rPr>
          <w:rFonts w:cs="Arial" w:ascii="Arial" w:hAnsi="Arial"/>
          <w:color w:val="000000"/>
          <w:sz w:val="24"/>
        </w:rPr>
        <w:t>fines, as of June 30, 2000.  Interest accrues on the unpaid tax at the rate of 1.65% monthly.</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To date, court challenges to the taxes have been unsuccessful.  TGS has pending before the Argentine Federal Supreme Court an application to declare the taxes unconstitutional and unlawful, but the court has, as yet, not acted.  Meanwhile, the provinces are free to attempt to collect the taxes, by levy if necessary.  </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The federal government has, in documents filed in another case, expressed the view that the imposition of stamp taxes in the manner followed by the provinces is illegal.  ENARGAS has also expressed its view that the taxes are illegal.  The Federal Supreme Court, however, has recently denied an application (filed by another company) to enjoin collection of the taxes.</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On November 23, 1999, Enron notified the federal government that it regarded the imposition of these taxes as a violation of the Bilateral Investment Treaty between Argentina and the U.S.  Since that notification, representatives of Enron and the government have held several meetings.  Discussions continue with the provincial governments, the federal government, and the court.  The Treaty mandates a six-month negotiation period before arbitration can be initiated.  If the negotiations with the government are unsuccessful, Enron intends to file an arbitration with the International Center for the Settlement of Investment Disputes (ICSID) in Washington, D.C. </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Enron has placed its political risk insurers on notice.</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At the federal government's request, TGS and Enron have agreed to a 90-day standstill on all proceedings ending August 31, 2000, in an attempt to resolve the dispute. </w:t>
      </w:r>
    </w:p>
    <w:p>
      <w:pPr>
        <w:pStyle w:val="Normal"/>
        <w:numPr>
          <w:ilvl w:val="0"/>
          <w:numId w:val="63"/>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It is TGS’s position that any taxes it ultimately is required to pay should be subject to passthrough under its tariff, but it has no written assurance by ENARGAS that it would be allowed to do so.</w:t>
      </w:r>
    </w:p>
    <w:p>
      <w:pPr>
        <w:pStyle w:val="Normal"/>
        <w:tabs>
          <w:tab w:val="clear" w:pos="720"/>
          <w:tab w:val="left" w:pos="1080" w:leader="none"/>
          <w:tab w:val="left" w:pos="7740" w:leader="none"/>
        </w:tabs>
        <w:jc w:val="both"/>
        <w:rPr>
          <w:rFonts w:ascii="Arial" w:hAnsi="Arial" w:cs="Arial"/>
          <w:color w:val="000000"/>
          <w:sz w:val="24"/>
        </w:rPr>
      </w:pPr>
      <w:r>
        <w:rPr>
          <w:rFonts w:cs="Arial" w:ascii="Arial" w:hAnsi="Arial"/>
          <w:color w:val="000000"/>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ind w:start="720" w:end="0"/>
        <w:jc w:val="center"/>
        <w:rPr>
          <w:rFonts w:ascii="Arial" w:hAnsi="Arial" w:cs="Arial"/>
          <w:sz w:val="28"/>
        </w:rPr>
      </w:pPr>
      <w:r>
        <w:rPr>
          <w:rFonts w:cs="Arial" w:ascii="Arial" w:hAnsi="Arial"/>
          <w:b/>
          <w:sz w:val="28"/>
          <w:u w:val="single"/>
        </w:rPr>
        <w:t>Enron America Argentina del Sur S.A.</w:t>
      </w:r>
    </w:p>
    <w:p>
      <w:pPr>
        <w:pStyle w:val="BodyText3"/>
        <w:tabs>
          <w:tab w:val="clear" w:pos="1440"/>
          <w:tab w:val="clear" w:pos="8370"/>
        </w:tabs>
        <w:ind w:start="720" w:end="0"/>
        <w:jc w:val="center"/>
        <w:rPr/>
      </w:pPr>
      <w:r>
        <w:rPr/>
        <w:t>(Argentina)</w:t>
      </w:r>
    </w:p>
    <w:p>
      <w:pPr>
        <w:pStyle w:val="Normal"/>
        <w:rPr>
          <w:rFonts w:ascii="Arial" w:hAnsi="Arial" w:cs="Arial"/>
          <w:sz w:val="24"/>
        </w:rPr>
      </w:pPr>
      <w:r>
        <w:rPr>
          <w:rFonts w:cs="Arial" w:ascii="Arial" w:hAnsi="Arial"/>
          <w:sz w:val="24"/>
        </w:rPr>
      </w:r>
    </w:p>
    <w:p>
      <w:pPr>
        <w:pStyle w:val="Heading4"/>
        <w:numPr>
          <w:ilvl w:val="0"/>
          <w:numId w:val="41"/>
        </w:numPr>
        <w:tabs>
          <w:tab w:val="clear" w:pos="720"/>
        </w:tabs>
        <w:rPr>
          <w:b/>
          <w:u w:val="none"/>
        </w:rPr>
      </w:pPr>
      <w:r>
        <w:rPr>
          <w:b/>
          <w:u w:val="none"/>
        </w:rPr>
        <w:t>LITIGATION/ARBITRATION</w:t>
      </w:r>
    </w:p>
    <w:p>
      <w:pPr>
        <w:pStyle w:val="Normal"/>
        <w:rPr>
          <w:rFonts w:ascii="Arial" w:hAnsi="Arial" w:cs="Arial"/>
          <w:b/>
          <w:sz w:val="24"/>
          <w:u w:val="none"/>
        </w:rPr>
      </w:pPr>
      <w:r>
        <w:rPr>
          <w:rFonts w:cs="Arial" w:ascii="Arial" w:hAnsi="Arial"/>
          <w:b/>
          <w:sz w:val="24"/>
          <w:u w:val="none"/>
        </w:rPr>
      </w:r>
    </w:p>
    <w:p>
      <w:pPr>
        <w:pStyle w:val="Normal"/>
        <w:tabs>
          <w:tab w:val="clear" w:pos="720"/>
          <w:tab w:val="left" w:pos="7740" w:leader="none"/>
        </w:tabs>
        <w:ind w:start="720" w:end="0"/>
        <w:rPr>
          <w:rFonts w:ascii="Arial" w:hAnsi="Arial" w:cs="Arial"/>
          <w:b/>
          <w:sz w:val="24"/>
        </w:rPr>
      </w:pPr>
      <w:r>
        <w:rPr>
          <w:rFonts w:cs="Arial" w:ascii="Arial" w:hAnsi="Arial"/>
          <w:b/>
          <w:sz w:val="24"/>
        </w:rPr>
        <w:t>Stamp Tax Proceeding Involving TGN Offers</w:t>
        <w:tab/>
        <w:t>(Not Updated)</w:t>
      </w:r>
    </w:p>
    <w:p>
      <w:pPr>
        <w:pStyle w:val="BodyText3"/>
        <w:tabs>
          <w:tab w:val="clear" w:pos="1440"/>
          <w:tab w:val="clear" w:pos="8370"/>
        </w:tabs>
        <w:rPr/>
      </w:pPr>
      <w:r>
        <w:rPr/>
        <w:tab/>
        <w:t>(Cristian Rosso Alba/Hope, Duggan &amp; Silva) (Est. US$3,000 - $350,000)</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On January 18, 2000, two inspectors of the General Revenue Department of the Salta Province appeared at the premises of Enron America Argentina del Sur S.A. (EAASA) and required EAASA to furnish information relating to EAASA's purchase and sales contracts within 5 days.  EAASA complied with this request.</w:t>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On January 20, 2000, the General Revenue Department of the Salta Province instituted summary proceedings claiming stamp tax on two written unilateral offers made by EAASA to Transportadora de Gas del Norte S.A. ("TGN").  No gas was ever transported under either of these agreements.  Nevertheless, local counsel advises that this is irrelevant for purposes of stamp tax which affects the instrument, regardless of whether the transaction is carried out.</w:t>
      </w:r>
    </w:p>
    <w:p>
      <w:pPr>
        <w:pStyle w:val="Normal"/>
        <w:numPr>
          <w:ilvl w:val="0"/>
          <w:numId w:val="32"/>
        </w:numPr>
        <w:tabs>
          <w:tab w:val="left" w:pos="720" w:leader="none"/>
          <w:tab w:val="left" w:pos="1080" w:leader="none"/>
          <w:tab w:val="left" w:pos="7740" w:leader="none"/>
        </w:tabs>
        <w:ind w:hanging="360" w:start="1080" w:end="0"/>
        <w:jc w:val="both"/>
        <w:rPr>
          <w:rFonts w:ascii="Arial" w:hAnsi="Arial" w:cs="Arial"/>
          <w:sz w:val="24"/>
        </w:rPr>
      </w:pPr>
      <w:r>
        <w:rPr>
          <w:rFonts w:cs="Arial" w:ascii="Arial" w:hAnsi="Arial"/>
          <w:sz w:val="24"/>
        </w:rPr>
        <w:t xml:space="preserve">Enron submitted its defense that the unilateral offer letters do not constitute “taxable instruments” under the Tax Code.  </w:t>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rPr>
        <w:t>Stamp Tax Dispute Involving Enron Pipeline Company</w:t>
        <w:tab/>
        <w:t>(Not Updated)</w:t>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rPr>
        <w:t>Argentina S.A.</w:t>
      </w:r>
    </w:p>
    <w:p>
      <w:pPr>
        <w:pStyle w:val="Normal"/>
        <w:keepNext w:val="true"/>
        <w:keepLines/>
        <w:ind w:start="720" w:end="0"/>
        <w:rPr>
          <w:rFonts w:ascii="Arial" w:hAnsi="Arial" w:cs="Arial"/>
          <w:sz w:val="24"/>
        </w:rPr>
      </w:pPr>
      <w:r>
        <w:rPr>
          <w:rFonts w:cs="Arial" w:ascii="Arial" w:hAnsi="Arial"/>
          <w:sz w:val="24"/>
        </w:rPr>
        <w:t xml:space="preserve">(Cristian Rosso Alba/Hope, Duggan &amp; Silva) ($1.1 million tax, $1.5 million interest, plus $4.2 million in potential fines) </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tax board of the Province of Neuquen has issued a stamp</w:t>
      </w:r>
      <w:r>
        <w:rPr>
          <w:rFonts w:cs="Arial" w:ascii="Arial" w:hAnsi="Arial"/>
          <w:b/>
          <w:sz w:val="24"/>
        </w:rPr>
        <w:t xml:space="preserve"> </w:t>
      </w:r>
      <w:r>
        <w:rPr>
          <w:rFonts w:cs="Arial" w:ascii="Arial" w:hAnsi="Arial"/>
          <w:sz w:val="24"/>
        </w:rPr>
        <w:t>tax assessment against Enron Pipeline Company Argentina S.A. in connection with its Technical Assistance Agreement with TGS.</w:t>
      </w:r>
    </w:p>
    <w:p>
      <w:pPr>
        <w:pStyle w:val="Normal"/>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An administrative opposition has been filed in response to this assessment.</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Heading4"/>
        <w:keepLines/>
        <w:numPr>
          <w:ilvl w:val="0"/>
          <w:numId w:val="41"/>
        </w:numPr>
        <w:rPr>
          <w:b/>
          <w:u w:val="none"/>
        </w:rPr>
      </w:pPr>
      <w:r>
        <w:rPr>
          <w:b/>
          <w:u w:val="none"/>
        </w:rPr>
        <w:t>CLAIMS/DISPUTES</w:t>
      </w:r>
    </w:p>
    <w:p>
      <w:pPr>
        <w:pStyle w:val="Normal"/>
        <w:keepNext w:val="true"/>
        <w:keepLines/>
        <w:rPr>
          <w:rFonts w:ascii="Arial" w:hAnsi="Arial" w:cs="Arial"/>
          <w:b/>
          <w:sz w:val="24"/>
          <w:u w:val="none"/>
        </w:rPr>
      </w:pPr>
      <w:r>
        <w:rPr>
          <w:rFonts w:cs="Arial" w:ascii="Arial" w:hAnsi="Arial"/>
          <w:b/>
          <w:sz w:val="24"/>
          <w:u w:val="none"/>
        </w:rPr>
      </w:r>
    </w:p>
    <w:p>
      <w:pPr>
        <w:pStyle w:val="Normal"/>
        <w:keepNext w:val="true"/>
        <w:keepLines/>
        <w:tabs>
          <w:tab w:val="clear" w:pos="720"/>
          <w:tab w:val="left" w:pos="1080" w:leader="none"/>
          <w:tab w:val="left" w:pos="7740" w:leader="none"/>
        </w:tabs>
        <w:ind w:start="720" w:end="0"/>
        <w:jc w:val="both"/>
        <w:rPr>
          <w:rFonts w:ascii="Arial" w:hAnsi="Arial" w:cs="Arial"/>
          <w:b/>
          <w:sz w:val="24"/>
        </w:rPr>
      </w:pPr>
      <w:r>
        <w:rPr>
          <w:rFonts w:cs="Arial" w:ascii="Arial" w:hAnsi="Arial"/>
          <w:b/>
          <w:sz w:val="24"/>
        </w:rPr>
        <w:t>Central Piedra Buena Dispute</w:t>
        <w:tab/>
        <w:t>(Updated)</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t>(Guido Tawil/M.&amp;M. Bomchil) ($2.5 million)</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keepNext w:val="true"/>
        <w:keepLines/>
        <w:numPr>
          <w:ilvl w:val="0"/>
          <w:numId w:val="32"/>
        </w:numPr>
        <w:tabs>
          <w:tab w:val="clear" w:pos="720"/>
          <w:tab w:val="left" w:pos="1080" w:leader="none"/>
          <w:tab w:val="left" w:pos="7740" w:leader="none"/>
        </w:tabs>
        <w:ind w:hanging="360" w:start="1080" w:end="0"/>
        <w:jc w:val="both"/>
        <w:rPr>
          <w:rFonts w:ascii="Arial" w:hAnsi="Arial" w:cs="Arial"/>
          <w:b/>
          <w:sz w:val="24"/>
        </w:rPr>
      </w:pPr>
      <w:r>
        <w:rPr>
          <w:rFonts w:cs="Arial" w:ascii="Arial" w:hAnsi="Arial"/>
          <w:b/>
          <w:sz w:val="24"/>
        </w:rPr>
        <w:t>Central Piedra Buena has refused to pay invoices submitted by Enron America del Sur S.A. claiming that it was improperly invoiced for gas and that, in fact, Enron may owe it unspecified amounts.</w:t>
      </w:r>
    </w:p>
    <w:p>
      <w:pPr>
        <w:pStyle w:val="Normal"/>
        <w:numPr>
          <w:ilvl w:val="0"/>
          <w:numId w:val="3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is considering filing an ICC arbitration in Buenos Aires to require payment.</w:t>
      </w:r>
    </w:p>
    <w:p>
      <w:pPr>
        <w:pStyle w:val="Normal"/>
        <w:numPr>
          <w:ilvl w:val="0"/>
          <w:numId w:val="32"/>
        </w:numPr>
        <w:tabs>
          <w:tab w:val="clear" w:pos="720"/>
          <w:tab w:val="left" w:pos="1080" w:leader="none"/>
          <w:tab w:val="left" w:pos="7740" w:leader="none"/>
        </w:tabs>
        <w:ind w:hanging="360" w:start="1080" w:end="0"/>
        <w:jc w:val="both"/>
        <w:rPr>
          <w:rFonts w:ascii="Arial" w:hAnsi="Arial" w:cs="Arial"/>
          <w:b/>
          <w:sz w:val="24"/>
        </w:rPr>
      </w:pPr>
      <w:r>
        <w:rPr>
          <w:rFonts w:cs="Arial" w:ascii="Arial" w:hAnsi="Arial"/>
          <w:b/>
          <w:sz w:val="24"/>
        </w:rPr>
        <w:t>Enron has undertaken an internal audit to confirm the amounts in dispute while the parties continue to discuss this matter.</w:t>
      </w:r>
    </w:p>
    <w:p>
      <w:pPr>
        <w:pStyle w:val="Normal"/>
        <w:rPr>
          <w:rFonts w:ascii="Arial" w:hAnsi="Arial" w:cs="Arial"/>
          <w:b/>
          <w:sz w:val="24"/>
        </w:rPr>
      </w:pPr>
      <w:r>
        <w:rPr>
          <w:rFonts w:cs="Arial" w:ascii="Arial" w:hAnsi="Arial"/>
          <w:b/>
          <w:sz w:val="24"/>
        </w:rPr>
      </w:r>
    </w:p>
    <w:p>
      <w:pPr>
        <w:pStyle w:val="Normal"/>
        <w:tabs>
          <w:tab w:val="clear" w:pos="720"/>
          <w:tab w:val="left" w:pos="1080" w:leader="none"/>
          <w:tab w:val="left" w:pos="7740" w:leader="none"/>
        </w:tabs>
        <w:jc w:val="both"/>
        <w:rPr>
          <w:rFonts w:ascii="Arial" w:hAnsi="Arial" w:cs="Arial"/>
          <w:b/>
          <w:sz w:val="24"/>
        </w:rPr>
      </w:pPr>
      <w:r>
        <w:rPr>
          <w:rFonts w:cs="Arial" w:ascii="Arial" w:hAnsi="Arial"/>
          <w:b/>
          <w:sz w:val="24"/>
        </w:rPr>
      </w:r>
    </w:p>
    <w:p>
      <w:pPr>
        <w:pStyle w:val="Normal"/>
        <w:jc w:val="center"/>
        <w:rPr>
          <w:rFonts w:ascii="Arial" w:hAnsi="Arial" w:cs="Arial"/>
          <w:b/>
          <w:sz w:val="28"/>
          <w:u w:val="single"/>
        </w:rPr>
      </w:pPr>
      <w:r>
        <w:rPr>
          <w:rFonts w:cs="Arial" w:ascii="Arial" w:hAnsi="Arial"/>
          <w:b/>
          <w:sz w:val="28"/>
          <w:u w:val="single"/>
        </w:rPr>
        <w:t>Transredes S.A.</w:t>
      </w:r>
    </w:p>
    <w:p>
      <w:pPr>
        <w:pStyle w:val="Normal"/>
        <w:jc w:val="center"/>
        <w:rPr>
          <w:rFonts w:ascii="Arial" w:hAnsi="Arial" w:cs="Arial"/>
          <w:sz w:val="24"/>
        </w:rPr>
      </w:pPr>
      <w:r>
        <w:rPr>
          <w:rFonts w:cs="Arial" w:ascii="Arial" w:hAnsi="Arial"/>
          <w:sz w:val="24"/>
        </w:rPr>
        <w:t>(Bolivia)</w:t>
      </w:r>
    </w:p>
    <w:p>
      <w:pPr>
        <w:pStyle w:val="Normal"/>
        <w:rPr>
          <w:rFonts w:ascii="Arial" w:hAnsi="Arial" w:cs="Arial"/>
          <w:sz w:val="24"/>
        </w:rPr>
      </w:pPr>
      <w:r>
        <w:rPr>
          <w:rFonts w:cs="Arial" w:ascii="Arial" w:hAnsi="Arial"/>
          <w:sz w:val="24"/>
        </w:rPr>
      </w:r>
    </w:p>
    <w:p>
      <w:pPr>
        <w:pStyle w:val="Normal"/>
        <w:numPr>
          <w:ilvl w:val="0"/>
          <w:numId w:val="64"/>
        </w:numPr>
        <w:jc w:val="both"/>
        <w:rPr>
          <w:rFonts w:ascii="Arial" w:hAnsi="Arial" w:cs="Arial"/>
          <w:b/>
          <w:sz w:val="24"/>
        </w:rPr>
      </w:pPr>
      <w:r>
        <w:rPr>
          <w:rFonts w:cs="Arial" w:ascii="Arial" w:hAnsi="Arial"/>
          <w:b/>
          <w:sz w:val="24"/>
        </w:rPr>
        <w:t>LITIGATION/ARBITRATION</w:t>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Desaguadero River Spill</w:t>
        <w:tab/>
        <w:t>(Updated)</w:t>
      </w:r>
    </w:p>
    <w:p>
      <w:pPr>
        <w:pStyle w:val="Normal"/>
        <w:tabs>
          <w:tab w:val="clear" w:pos="720"/>
          <w:tab w:val="left" w:pos="7740" w:leader="none"/>
        </w:tabs>
        <w:ind w:start="720" w:end="0"/>
        <w:jc w:val="both"/>
        <w:rPr>
          <w:rFonts w:ascii="Arial" w:hAnsi="Arial" w:cs="Arial"/>
          <w:sz w:val="24"/>
        </w:rPr>
      </w:pPr>
      <w:r>
        <w:rPr>
          <w:rFonts w:cs="Arial" w:ascii="Arial" w:hAnsi="Arial"/>
          <w:sz w:val="24"/>
        </w:rPr>
        <w:t>(Enron’s Interest: 25%)</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A pipeline suffered an abrasion of about 1” in diameter as a result of torrential rains which caused the river to rise.  An estimated 2,000 barrels of oil spilled into the Desaguadero River near the village of Calacoto.  The oil migrated to the edge of nearby lakes before being contained.  </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cleanup effort is expected to cost approximately $30-$45 million.</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b/>
          <w:sz w:val="24"/>
        </w:rPr>
        <w:t>The Ministry of Hydrocarbons has opened a formal investigation into the cause of the spill</w:t>
      </w:r>
      <w:r>
        <w:rPr>
          <w:rFonts w:cs="Arial" w:ascii="Arial" w:hAnsi="Arial"/>
          <w:sz w:val="24"/>
        </w:rPr>
        <w:t xml:space="preserve"> </w:t>
      </w:r>
      <w:r>
        <w:rPr>
          <w:rFonts w:cs="Arial" w:ascii="Arial" w:hAnsi="Arial"/>
          <w:b/>
          <w:sz w:val="24"/>
        </w:rPr>
        <w:t>and has issued an unfavorable opinion which Transredes has appealed.</w:t>
      </w:r>
    </w:p>
    <w:p>
      <w:pPr>
        <w:pStyle w:val="Normal"/>
        <w:numPr>
          <w:ilvl w:val="0"/>
          <w:numId w:val="18"/>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 xml:space="preserve">CNA has filed an action in London Commercial Court seeking to void the reinsurance policy upon which Transredes would rely for its cleanup costs.  The action is technically brought against La Boliviana, the original insurer, but the principal allegation is that Lambert Fenchurch, the London broker, failed to disclose fully the nature of the risk.  </w:t>
      </w:r>
      <w:r>
        <w:rPr>
          <w:rFonts w:cs="Arial" w:ascii="Arial" w:hAnsi="Arial"/>
          <w:b/>
          <w:sz w:val="24"/>
        </w:rPr>
        <w:t>Transredes continues to consider its options in connection with this suit.</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ind w:start="720" w:end="0"/>
        <w:jc w:val="both"/>
        <w:rPr>
          <w:rFonts w:ascii="Arial" w:hAnsi="Arial" w:cs="Arial"/>
          <w:b/>
          <w:sz w:val="24"/>
        </w:rPr>
      </w:pPr>
      <w:r>
        <w:rPr>
          <w:rFonts w:cs="Arial" w:ascii="Arial" w:hAnsi="Arial"/>
          <w:b/>
          <w:sz w:val="24"/>
        </w:rPr>
        <w:t>Tariff Dispute</w:t>
        <w:tab/>
        <w:t>(Not Updated)</w:t>
      </w:r>
    </w:p>
    <w:p>
      <w:pPr>
        <w:pStyle w:val="Normal"/>
        <w:tabs>
          <w:tab w:val="clear" w:pos="720"/>
          <w:tab w:val="left" w:pos="7740" w:leader="none"/>
        </w:tabs>
        <w:ind w:start="720" w:end="0"/>
        <w:jc w:val="both"/>
        <w:rPr>
          <w:rFonts w:ascii="Arial" w:hAnsi="Arial" w:cs="Arial"/>
          <w:sz w:val="24"/>
        </w:rPr>
      </w:pPr>
      <w:r>
        <w:rPr>
          <w:rFonts w:cs="Arial" w:ascii="Arial" w:hAnsi="Arial"/>
          <w:sz w:val="24"/>
        </w:rPr>
        <w:t>(Administrative Appeal to Superintendent of Hydrocarbons) ($14 million) (Enron’s Interest: 25%)</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The Bolivian government has altered the interpretation and application of existing laws permitting Transredes to charge certain tariffs, retroactive to 1998.  It will have a potential $14 million impact on the company.</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Transredes has filed an administrative appeal to the Superintendent of Hydrocarbons.  On December 23, 1999, the Superintendent issued an unfavorable resolution, and Transredes filed a petition for review (revocatory remedy) to have the resolution set aside.</w:t>
      </w:r>
      <w:r>
        <w:rPr>
          <w:rFonts w:cs="Arial" w:ascii="Arial" w:hAnsi="Arial"/>
          <w:b/>
          <w:sz w:val="24"/>
        </w:rPr>
        <w:t xml:space="preserve">  </w:t>
      </w:r>
      <w:r>
        <w:rPr>
          <w:rFonts w:cs="Arial" w:ascii="Arial" w:hAnsi="Arial"/>
          <w:sz w:val="24"/>
        </w:rPr>
        <w:t>Transredes may subsequently appeal to the General Superintendent of Hydrocarbons.</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Upon exhaustion of administrative appeals, Transredes is considering an ICSID claim under the UK/Bolivia or Netherlands/Bolivia Bilateral Investment Treaties because the Shell partners are UK and Netherlands companies.  The U.S. has not ratified its BIT with Bolivia.</w:t>
      </w:r>
    </w:p>
    <w:p>
      <w:pPr>
        <w:pStyle w:val="Normal"/>
        <w:numPr>
          <w:ilvl w:val="0"/>
          <w:numId w:val="50"/>
        </w:numPr>
        <w:tabs>
          <w:tab w:val="clear" w:pos="720"/>
          <w:tab w:val="left" w:pos="1080" w:leader="none"/>
          <w:tab w:val="left" w:pos="7740" w:leader="none"/>
        </w:tabs>
        <w:ind w:hanging="360" w:start="1080" w:end="0"/>
        <w:jc w:val="both"/>
        <w:rPr>
          <w:rFonts w:ascii="Arial" w:hAnsi="Arial" w:cs="Arial"/>
          <w:sz w:val="24"/>
        </w:rPr>
      </w:pPr>
      <w:r>
        <w:rPr>
          <w:rFonts w:cs="Arial" w:ascii="Arial" w:hAnsi="Arial"/>
          <w:i/>
          <w:sz w:val="24"/>
        </w:rPr>
        <w:t>Note:  This matter is being handled by Transredes’ in-house legal department.</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t>Transredes S.A. Criminal Matter</w:t>
        <w:tab/>
        <w:t>(Not Updated)</w:t>
      </w:r>
    </w:p>
    <w:p>
      <w:pPr>
        <w:pStyle w:val="Normal"/>
        <w:keepNext w:val="true"/>
        <w:keepLines/>
        <w:ind w:start="720" w:end="0"/>
        <w:jc w:val="both"/>
        <w:rPr>
          <w:rFonts w:ascii="Arial" w:hAnsi="Arial" w:cs="Arial"/>
          <w:sz w:val="24"/>
        </w:rPr>
      </w:pPr>
      <w:r>
        <w:rPr>
          <w:rFonts w:cs="Arial" w:ascii="Arial" w:hAnsi="Arial"/>
          <w:sz w:val="24"/>
        </w:rPr>
        <w:t>(Santa Cruz Criminal District Court, Bolivia) (Christina Guitierrez, Alajandro Ortega) ($3 million from Transredes plus 1-5 years’ imprisonment of indicted individuals) (Enron’s Interest: 25%)</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0"/>
          <w:numId w:val="5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A May 1999 diesel spill into an artificial pond at Transredes Station No. 1 resulted in criminal charges for damage to public health being filed against three Transredes employees.  </w:t>
      </w:r>
    </w:p>
    <w:p>
      <w:pPr>
        <w:pStyle w:val="Normal"/>
        <w:numPr>
          <w:ilvl w:val="0"/>
          <w:numId w:val="37"/>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A motion to dismiss has been filed and is pending.</w:t>
      </w:r>
    </w:p>
    <w:p>
      <w:pPr>
        <w:pStyle w:val="Normal"/>
        <w:numPr>
          <w:ilvl w:val="0"/>
          <w:numId w:val="24"/>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defense argues that the District Attorney conducted the criminal investigation outside the scope of his authority to the extent that only environmental authorities, not the District Attorney, should determine which environmental cases warrant criminal prosecution.</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Heading5"/>
        <w:numPr>
          <w:ilvl w:val="0"/>
          <w:numId w:val="64"/>
        </w:numPr>
        <w:rPr/>
      </w:pPr>
      <w:r>
        <w:rPr/>
        <w:t>CLAIMS/DISPUTES</w:t>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t>Claim by Garner Environmental Services</w:t>
        <w:tab/>
        <w:t>(Updated)</w:t>
      </w:r>
    </w:p>
    <w:p>
      <w:pPr>
        <w:pStyle w:val="Normal"/>
        <w:tabs>
          <w:tab w:val="clear" w:pos="720"/>
          <w:tab w:val="left" w:pos="7740" w:leader="none"/>
        </w:tabs>
        <w:ind w:start="720" w:end="0"/>
        <w:rPr/>
      </w:pPr>
      <w:r>
        <w:rPr>
          <w:rFonts w:cs="Arial" w:ascii="Arial" w:hAnsi="Arial"/>
          <w:sz w:val="24"/>
        </w:rPr>
        <w:t>(Mark Glasser/Porter &amp; Hedges)</w:t>
      </w:r>
      <w:r>
        <w:rPr>
          <w:rFonts w:cs="Arial" w:ascii="Arial" w:hAnsi="Arial"/>
          <w:b/>
          <w:sz w:val="24"/>
        </w:rPr>
        <w:t xml:space="preserve"> </w:t>
      </w:r>
      <w:r>
        <w:rPr>
          <w:rFonts w:cs="Arial" w:ascii="Arial" w:hAnsi="Arial"/>
          <w:sz w:val="24"/>
        </w:rPr>
        <w:t>($7.7 million)</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2"/>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Garner claims that Transredes has failed to pay approximately $7.7 million owed in connection with clean-up efforts relating to the Desaguardaro River Oil Spill.</w:t>
      </w:r>
    </w:p>
    <w:p>
      <w:pPr>
        <w:pStyle w:val="Normal"/>
        <w:numPr>
          <w:ilvl w:val="0"/>
          <w:numId w:val="42"/>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Transredes claims it does not owe these amounts and has requested an audit.  </w:t>
      </w:r>
    </w:p>
    <w:p>
      <w:pPr>
        <w:pStyle w:val="Normal"/>
        <w:numPr>
          <w:ilvl w:val="0"/>
          <w:numId w:val="42"/>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A letter has been received threatening a lawsuit against Transredes, Enron and Shell if the disputed amounts are not paid.</w:t>
      </w:r>
    </w:p>
    <w:p>
      <w:pPr>
        <w:pStyle w:val="Normal"/>
        <w:numPr>
          <w:ilvl w:val="0"/>
          <w:numId w:val="42"/>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Although Transredes and Garner initially agreed to submit their dispute to binding arbitration, the parties continue to negotiate this point and suit is still threatened.</w:t>
      </w:r>
    </w:p>
    <w:p>
      <w:pPr>
        <w:pStyle w:val="Normal"/>
        <w:tabs>
          <w:tab w:val="clear" w:pos="720"/>
          <w:tab w:val="left" w:pos="7740" w:leader="none"/>
        </w:tabs>
        <w:rPr>
          <w:rFonts w:ascii="Arial" w:hAnsi="Arial" w:cs="Arial"/>
          <w:b/>
          <w:sz w:val="24"/>
        </w:rPr>
      </w:pPr>
      <w:r>
        <w:rPr>
          <w:rFonts w:cs="Arial" w:ascii="Arial" w:hAnsi="Arial"/>
          <w:b/>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center"/>
        <w:rPr>
          <w:rFonts w:ascii="Arial" w:hAnsi="Arial" w:cs="Arial"/>
          <w:b/>
          <w:sz w:val="28"/>
          <w:u w:val="single"/>
        </w:rPr>
      </w:pPr>
      <w:r>
        <w:rPr>
          <w:rFonts w:cs="Arial" w:ascii="Arial" w:hAnsi="Arial"/>
          <w:b/>
          <w:sz w:val="28"/>
          <w:u w:val="single"/>
        </w:rPr>
        <w:t>Gas Oriente Boliviano</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15"/>
        </w:numPr>
        <w:jc w:val="both"/>
        <w:rPr>
          <w:rFonts w:ascii="Arial" w:hAnsi="Arial" w:cs="Arial"/>
          <w:b/>
          <w:sz w:val="24"/>
        </w:rPr>
      </w:pPr>
      <w:r>
        <w:rPr>
          <w:rFonts w:cs="Arial" w:ascii="Arial" w:hAnsi="Arial"/>
          <w:b/>
          <w:sz w:val="24"/>
        </w:rPr>
        <w:t>LITIGATION/ARBITRATION</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jc w:val="both"/>
        <w:rPr/>
      </w:pPr>
      <w:r>
        <w:rPr>
          <w:rFonts w:cs="Arial" w:ascii="Arial" w:hAnsi="Arial"/>
          <w:b/>
          <w:sz w:val="24"/>
          <w:u w:val="single"/>
        </w:rPr>
        <w:t>MABONAL Ltd. v. Gas Oriente Boliviano, Transredes,</w:t>
      </w:r>
      <w:r>
        <w:rPr>
          <w:rFonts w:cs="Arial" w:ascii="Arial" w:hAnsi="Arial"/>
          <w:b/>
          <w:sz w:val="24"/>
        </w:rPr>
        <w:tab/>
        <w:t>(Not Updated)</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t>Enron S.A., and Shell S.A.</w:t>
      </w:r>
    </w:p>
    <w:p>
      <w:pPr>
        <w:pStyle w:val="Normal"/>
        <w:keepNext w:val="true"/>
        <w:keepLines/>
        <w:tabs>
          <w:tab w:val="clear" w:pos="720"/>
          <w:tab w:val="left" w:pos="7740" w:leader="none"/>
          <w:tab w:val="left" w:pos="8370" w:leader="none"/>
        </w:tabs>
        <w:ind w:start="720" w:end="0"/>
        <w:rPr/>
      </w:pPr>
      <w:r>
        <w:rPr>
          <w:rFonts w:cs="Arial" w:ascii="Arial" w:hAnsi="Arial"/>
          <w:sz w:val="24"/>
        </w:rPr>
        <w:t>(Santa Cruz Civil Court)</w:t>
      </w:r>
      <w:r>
        <w:rPr>
          <w:rFonts w:cs="Arial" w:ascii="Arial" w:hAnsi="Arial"/>
          <w:b/>
          <w:sz w:val="24"/>
        </w:rPr>
        <w:t xml:space="preserve"> </w:t>
      </w:r>
      <w:r>
        <w:rPr>
          <w:rFonts w:cs="Arial" w:ascii="Arial" w:hAnsi="Arial"/>
          <w:sz w:val="24"/>
        </w:rPr>
        <w:t>(Dra. Bonnie Coca) ($600,000) (Enron’s Interest: 30%)</w:t>
      </w:r>
    </w:p>
    <w:p>
      <w:pPr>
        <w:pStyle w:val="Normal"/>
        <w:keepNext w:val="true"/>
        <w:keepLines/>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keepNext w:val="true"/>
        <w:keepLines/>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In January 2000, MABONAL Ltd., a timber merchant company, filed a precautionary measure against Gas Oriente Boliviano (“GOB”), Transredes, Enron S.A., and Shell S.A. claiming damages caused to its timber concession by the construction of the right-of-way for the pipeline to Cuiabá.</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Under Bolivian law, a precautionary measure seeks judicial inspection of the site to verify its current condition.  </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Transredes S.A., Enron S.A., and GOB have not been legally served.  Shell S.A. has been served. </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Enron and Transredes will defend on jurisdictional grounds and on the basis that they are not responsible for the damage.  GOB will defend on the following grounds: (i) compliance with the law and regulations; (ii) public notification to negotiate compensation; and (iii) the works made on the forest area were carried out under appropriate technical criteria.</w:t>
      </w:r>
    </w:p>
    <w:p>
      <w:pPr>
        <w:pStyle w:val="Normal"/>
        <w:numPr>
          <w:ilvl w:val="0"/>
          <w:numId w:val="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Recently GOB learned that MABONAL failed to pay its concessionary fee for the past 2 years which makes its concession legally unenforceable.  GOB now seeks to have the Forestry Superintendence invalidate MABONAL’s concession which should resolve this dispute.</w:t>
      </w:r>
    </w:p>
    <w:p>
      <w:pPr>
        <w:pStyle w:val="Normal"/>
        <w:tabs>
          <w:tab w:val="clear" w:pos="720"/>
          <w:tab w:val="left" w:pos="7740" w:leader="none"/>
          <w:tab w:val="left" w:pos="8370" w:leader="none"/>
        </w:tabs>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keepLines/>
        <w:jc w:val="center"/>
        <w:rPr>
          <w:rFonts w:ascii="Arial" w:hAnsi="Arial" w:cs="Arial"/>
          <w:b/>
          <w:sz w:val="28"/>
          <w:u w:val="single"/>
        </w:rPr>
      </w:pPr>
      <w:r>
        <w:rPr>
          <w:rFonts w:cs="Arial" w:ascii="Arial" w:hAnsi="Arial"/>
          <w:b/>
          <w:sz w:val="28"/>
          <w:u w:val="single"/>
        </w:rPr>
        <w:t>Eletricidade e Servicos SA (“Elektro”)</w:t>
      </w:r>
    </w:p>
    <w:p>
      <w:pPr>
        <w:pStyle w:val="Normal"/>
        <w:keepNext w:val="true"/>
        <w:keepLines/>
        <w:jc w:val="center"/>
        <w:rPr>
          <w:rFonts w:ascii="Arial" w:hAnsi="Arial" w:cs="Arial"/>
          <w:sz w:val="24"/>
        </w:rPr>
      </w:pPr>
      <w:r>
        <w:rPr>
          <w:rFonts w:cs="Arial" w:ascii="Arial" w:hAnsi="Arial"/>
          <w:sz w:val="24"/>
        </w:rPr>
        <w:t>(Brazil)</w:t>
      </w:r>
    </w:p>
    <w:p>
      <w:pPr>
        <w:pStyle w:val="Normal"/>
        <w:keepNext w:val="true"/>
        <w:keepLines/>
        <w:rPr>
          <w:rFonts w:ascii="Arial" w:hAnsi="Arial" w:cs="Arial"/>
          <w:sz w:val="26"/>
        </w:rPr>
      </w:pPr>
      <w:r>
        <w:rPr>
          <w:rFonts w:cs="Arial" w:ascii="Arial" w:hAnsi="Arial"/>
          <w:sz w:val="26"/>
        </w:rPr>
      </w:r>
    </w:p>
    <w:p>
      <w:pPr>
        <w:pStyle w:val="Normal"/>
        <w:keepNext w:val="true"/>
        <w:keepLines/>
        <w:numPr>
          <w:ilvl w:val="0"/>
          <w:numId w:val="16"/>
        </w:numPr>
        <w:rPr>
          <w:rFonts w:ascii="Arial" w:hAnsi="Arial" w:cs="Arial"/>
          <w:b/>
          <w:sz w:val="24"/>
        </w:rPr>
      </w:pPr>
      <w:r>
        <w:rPr>
          <w:rFonts w:cs="Arial" w:ascii="Arial" w:hAnsi="Arial"/>
          <w:b/>
          <w:sz w:val="24"/>
        </w:rPr>
        <w:t>LITIGATION/ARBITRATION</w:t>
      </w:r>
    </w:p>
    <w:p>
      <w:pPr>
        <w:pStyle w:val="Normal"/>
        <w:keepNext w:val="true"/>
        <w:keepLines/>
        <w:rPr>
          <w:rFonts w:ascii="Arial" w:hAnsi="Arial" w:cs="Arial"/>
          <w:b/>
          <w:sz w:val="24"/>
          <w:u w:val="single"/>
        </w:rPr>
      </w:pPr>
      <w:r>
        <w:rPr>
          <w:rFonts w:cs="Arial" w:ascii="Arial" w:hAnsi="Arial"/>
          <w:b/>
          <w:sz w:val="24"/>
          <w:u w:val="single"/>
        </w:rPr>
      </w:r>
    </w:p>
    <w:p>
      <w:pPr>
        <w:pStyle w:val="Normal"/>
        <w:keepNext w:val="true"/>
        <w:keepLines/>
        <w:tabs>
          <w:tab w:val="clear" w:pos="720"/>
          <w:tab w:val="left" w:pos="7740" w:leader="none"/>
        </w:tabs>
        <w:ind w:start="720" w:end="0"/>
        <w:rPr>
          <w:rFonts w:ascii="Arial" w:hAnsi="Arial" w:cs="Arial"/>
          <w:b/>
          <w:sz w:val="24"/>
          <w:u w:val="single"/>
        </w:rPr>
      </w:pPr>
      <w:r>
        <w:rPr>
          <w:rFonts w:cs="Arial" w:ascii="Arial" w:hAnsi="Arial"/>
          <w:b/>
          <w:sz w:val="24"/>
          <w:u w:val="single"/>
        </w:rPr>
        <w:t xml:space="preserve">Jamil Murad et  al. v. State of São Paulo Treasury, </w:t>
      </w:r>
      <w:r>
        <w:rPr>
          <w:rFonts w:cs="Arial" w:ascii="Arial" w:hAnsi="Arial"/>
          <w:b/>
          <w:sz w:val="24"/>
        </w:rPr>
        <w:tab/>
        <w:t>(Updated)</w:t>
      </w:r>
    </w:p>
    <w:p>
      <w:pPr>
        <w:pStyle w:val="Normal"/>
        <w:keepNext w:val="true"/>
        <w:keepLines/>
        <w:ind w:start="720" w:end="0"/>
        <w:rPr>
          <w:rFonts w:ascii="Arial" w:hAnsi="Arial" w:cs="Arial"/>
          <w:b/>
          <w:sz w:val="24"/>
          <w:u w:val="single"/>
        </w:rPr>
      </w:pPr>
      <w:r>
        <w:rPr>
          <w:rFonts w:cs="Arial" w:ascii="Arial" w:hAnsi="Arial"/>
          <w:b/>
          <w:sz w:val="24"/>
          <w:u w:val="single"/>
        </w:rPr>
        <w:t xml:space="preserve">CESP, the President of CESP, Energia Total do Brasil Ltda., </w:t>
      </w:r>
    </w:p>
    <w:p>
      <w:pPr>
        <w:pStyle w:val="Normal"/>
        <w:keepNext w:val="true"/>
        <w:keepLines/>
        <w:ind w:start="720" w:end="0"/>
        <w:rPr>
          <w:rFonts w:ascii="Arial" w:hAnsi="Arial" w:cs="Arial"/>
          <w:b/>
          <w:sz w:val="24"/>
          <w:u w:val="single"/>
        </w:rPr>
      </w:pPr>
      <w:r>
        <w:rPr>
          <w:rFonts w:cs="Arial" w:ascii="Arial" w:hAnsi="Arial"/>
          <w:b/>
          <w:sz w:val="24"/>
          <w:u w:val="single"/>
        </w:rPr>
        <w:t>Enron Investimentos Energéticos Ltda.,</w:t>
      </w:r>
    </w:p>
    <w:p>
      <w:pPr>
        <w:pStyle w:val="Normal"/>
        <w:keepNext w:val="true"/>
        <w:keepLines/>
        <w:ind w:start="720" w:end="0"/>
        <w:rPr>
          <w:rFonts w:ascii="Arial" w:hAnsi="Arial" w:cs="Arial"/>
          <w:b/>
          <w:sz w:val="24"/>
          <w:u w:val="single"/>
        </w:rPr>
      </w:pPr>
      <w:r>
        <w:rPr>
          <w:rFonts w:cs="Arial" w:ascii="Arial" w:hAnsi="Arial"/>
          <w:b/>
          <w:sz w:val="24"/>
          <w:u w:val="single"/>
        </w:rPr>
        <w:t xml:space="preserve">Empresa Paranaense Comercializadora Ltda. and </w:t>
      </w:r>
    </w:p>
    <w:p>
      <w:pPr>
        <w:pStyle w:val="Normal"/>
        <w:keepNext w:val="true"/>
        <w:keepLines/>
        <w:ind w:start="720" w:end="0"/>
        <w:rPr>
          <w:rFonts w:ascii="Arial" w:hAnsi="Arial" w:cs="Arial"/>
          <w:b/>
          <w:sz w:val="24"/>
        </w:rPr>
      </w:pPr>
      <w:r>
        <w:rPr>
          <w:rFonts w:cs="Arial" w:ascii="Arial" w:hAnsi="Arial"/>
          <w:b/>
          <w:sz w:val="24"/>
          <w:u w:val="single"/>
        </w:rPr>
        <w:t>Enron Serviços do Brasil Ltda</w:t>
      </w:r>
      <w:r>
        <w:rPr>
          <w:rFonts w:cs="Arial" w:ascii="Arial" w:hAnsi="Arial"/>
          <w:b/>
          <w:sz w:val="24"/>
        </w:rPr>
        <w:t>.  (Popular Action</w:t>
      </w:r>
      <w:r>
        <w:rPr>
          <w:rFonts w:cs="Arial" w:ascii="Arial" w:hAnsi="Arial"/>
          <w:b/>
          <w:sz w:val="24"/>
          <w:u w:val="single"/>
        </w:rPr>
        <w:t>)</w:t>
      </w:r>
    </w:p>
    <w:p>
      <w:pPr>
        <w:pStyle w:val="Normal"/>
        <w:keepNext w:val="true"/>
        <w:keepLines/>
        <w:ind w:start="720" w:end="0"/>
        <w:jc w:val="both"/>
        <w:rPr/>
      </w:pPr>
      <w:r>
        <w:rPr>
          <w:rFonts w:cs="Arial" w:ascii="Arial" w:hAnsi="Arial"/>
          <w:sz w:val="24"/>
        </w:rPr>
        <w:t>(7</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purchase of preferred shares in Elektro)</w:t>
      </w:r>
    </w:p>
    <w:p>
      <w:pPr>
        <w:pStyle w:val="Normal"/>
        <w:keepNext w:val="true"/>
        <w:keepLines/>
        <w:jc w:val="both"/>
        <w:rPr>
          <w:rFonts w:ascii="Arial" w:hAnsi="Arial" w:cs="Arial"/>
          <w:sz w:val="24"/>
        </w:rPr>
      </w:pPr>
      <w:r>
        <w:rPr>
          <w:rFonts w:cs="Arial" w:ascii="Arial" w:hAnsi="Arial"/>
          <w:sz w:val="24"/>
        </w:rPr>
      </w:r>
    </w:p>
    <w:p>
      <w:pPr>
        <w:pStyle w:val="Normal"/>
        <w:keepNext w:val="true"/>
        <w:keepLines/>
        <w:numPr>
          <w:ilvl w:val="0"/>
          <w:numId w:val="46"/>
        </w:numPr>
        <w:tabs>
          <w:tab w:val="clear" w:pos="720"/>
          <w:tab w:val="left" w:pos="1080" w:leader="none"/>
        </w:tabs>
        <w:ind w:hanging="360" w:start="1080" w:end="0"/>
        <w:rPr>
          <w:rFonts w:ascii="Arial" w:hAnsi="Arial" w:cs="Arial"/>
          <w:sz w:val="24"/>
        </w:rPr>
      </w:pPr>
      <w:r>
        <w:rPr>
          <w:rFonts w:cs="Arial" w:ascii="Arial" w:hAnsi="Arial"/>
          <w:sz w:val="24"/>
        </w:rPr>
        <w:t>On February 12, 1999, plaintiffs filed this public interest class action seeking to annul the sale of Elektro’s shares to Enron alleging that the price paid for Elektro’s preferred shares was too low (70% less).</w:t>
      </w:r>
    </w:p>
    <w:p>
      <w:pPr>
        <w:pStyle w:val="Normal"/>
        <w:numPr>
          <w:ilvl w:val="0"/>
          <w:numId w:val="58"/>
        </w:numPr>
        <w:tabs>
          <w:tab w:val="clear" w:pos="720"/>
          <w:tab w:val="left" w:pos="1080" w:leader="none"/>
        </w:tabs>
        <w:ind w:hanging="360" w:start="1080" w:end="0"/>
        <w:rPr>
          <w:rFonts w:ascii="Arial" w:hAnsi="Arial" w:cs="Arial"/>
          <w:sz w:val="24"/>
        </w:rPr>
      </w:pPr>
      <w:r>
        <w:rPr>
          <w:rFonts w:cs="Arial" w:ascii="Arial" w:hAnsi="Arial"/>
          <w:sz w:val="24"/>
        </w:rPr>
        <w:t xml:space="preserve">Plaintiffs’ preliminary injunction seeking to suspend the February 18, 1999 auction was denied. </w:t>
      </w:r>
    </w:p>
    <w:p>
      <w:pPr>
        <w:pStyle w:val="Normal"/>
        <w:numPr>
          <w:ilvl w:val="0"/>
          <w:numId w:val="22"/>
        </w:numPr>
        <w:tabs>
          <w:tab w:val="clear" w:pos="720"/>
          <w:tab w:val="left" w:pos="1080" w:leader="none"/>
        </w:tabs>
        <w:ind w:hanging="360" w:start="1080" w:end="0"/>
        <w:rPr>
          <w:rFonts w:ascii="Arial" w:hAnsi="Arial" w:cs="Arial"/>
          <w:sz w:val="24"/>
        </w:rPr>
      </w:pPr>
      <w:r>
        <w:rPr>
          <w:rFonts w:cs="Arial" w:ascii="Arial" w:hAnsi="Arial"/>
          <w:sz w:val="24"/>
        </w:rPr>
        <w:t xml:space="preserve">Local counsel advises that the plaintiffs’ claims are meritless because: (1) the price paid for controlling shares should be different than the price paid for non-controlling shares; and (2) there was no legal obligation for CESP and the state to obtain the same price for preferred shares as for controlling shares. </w:t>
      </w:r>
    </w:p>
    <w:p>
      <w:pPr>
        <w:pStyle w:val="Normal"/>
        <w:numPr>
          <w:ilvl w:val="0"/>
          <w:numId w:val="22"/>
        </w:numPr>
        <w:tabs>
          <w:tab w:val="clear" w:pos="720"/>
          <w:tab w:val="left" w:pos="1080" w:leader="none"/>
        </w:tabs>
        <w:ind w:hanging="360" w:start="1080" w:end="0"/>
        <w:rPr>
          <w:rFonts w:ascii="Arial" w:hAnsi="Arial" w:cs="Arial"/>
          <w:b/>
          <w:sz w:val="24"/>
        </w:rPr>
      </w:pPr>
      <w:r>
        <w:rPr>
          <w:rFonts w:cs="Arial" w:ascii="Arial" w:hAnsi="Arial"/>
          <w:b/>
          <w:sz w:val="24"/>
        </w:rPr>
        <w:t>Since filing, procedural matters and limited discovery have occurred.  In August, the court ordered that the parties submit a list detailing the evidence that still needed to be produced.  Since there was no additional evidence, the records were submitted to the State Public Attorney for his opinion.</w:t>
      </w:r>
    </w:p>
    <w:p>
      <w:pPr>
        <w:pStyle w:val="Normal"/>
        <w:rPr>
          <w:rFonts w:ascii="Arial" w:hAnsi="Arial" w:cs="Arial"/>
          <w:b/>
          <w:sz w:val="24"/>
        </w:rPr>
      </w:pPr>
      <w:r>
        <w:rPr>
          <w:rFonts w:cs="Arial" w:ascii="Arial" w:hAnsi="Arial"/>
          <w:b/>
          <w:sz w:val="24"/>
        </w:rPr>
      </w:r>
    </w:p>
    <w:p>
      <w:pPr>
        <w:pStyle w:val="Normal"/>
        <w:tabs>
          <w:tab w:val="clear" w:pos="720"/>
          <w:tab w:val="left" w:pos="1080" w:leader="none"/>
        </w:tabs>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t>Amarildo Bolito et al. v. State Public Treasury, Companhia</w:t>
      </w:r>
      <w:r>
        <w:rPr>
          <w:rFonts w:cs="Arial" w:ascii="Arial" w:hAnsi="Arial"/>
          <w:b/>
          <w:sz w:val="24"/>
        </w:rPr>
        <w:tab/>
        <w:t>(Updated)</w:t>
      </w:r>
    </w:p>
    <w:p>
      <w:pPr>
        <w:pStyle w:val="Normal"/>
        <w:ind w:start="720" w:end="0"/>
        <w:rPr>
          <w:rFonts w:ascii="Arial" w:hAnsi="Arial" w:cs="Arial"/>
          <w:b/>
          <w:sz w:val="24"/>
          <w:u w:val="single"/>
        </w:rPr>
      </w:pPr>
      <w:r>
        <w:rPr>
          <w:rFonts w:cs="Arial" w:ascii="Arial" w:hAnsi="Arial"/>
          <w:b/>
          <w:sz w:val="24"/>
          <w:u w:val="single"/>
        </w:rPr>
        <w:t>Energética de São Paulo, individual members of the Board</w:t>
      </w:r>
    </w:p>
    <w:p>
      <w:pPr>
        <w:pStyle w:val="Normal"/>
        <w:ind w:start="720" w:end="0"/>
        <w:rPr>
          <w:rFonts w:ascii="Arial" w:hAnsi="Arial" w:cs="Arial"/>
          <w:b/>
          <w:sz w:val="24"/>
          <w:u w:val="single"/>
        </w:rPr>
      </w:pPr>
      <w:r>
        <w:rPr>
          <w:rFonts w:cs="Arial" w:ascii="Arial" w:hAnsi="Arial"/>
          <w:b/>
          <w:sz w:val="24"/>
          <w:u w:val="single"/>
        </w:rPr>
        <w:t>of PED and Enron Serviços do Brasil Ltda (renamed Enron</w:t>
      </w:r>
    </w:p>
    <w:p>
      <w:pPr>
        <w:pStyle w:val="Normal"/>
        <w:ind w:start="720" w:end="0"/>
        <w:rPr/>
      </w:pPr>
      <w:r>
        <w:rPr>
          <w:rFonts w:cs="Arial" w:ascii="Arial" w:hAnsi="Arial"/>
          <w:b/>
          <w:sz w:val="24"/>
          <w:u w:val="single"/>
        </w:rPr>
        <w:t>America do Sul Ltda.</w:t>
      </w:r>
      <w:r>
        <w:rPr>
          <w:rFonts w:cs="Arial" w:ascii="Arial" w:hAnsi="Arial"/>
          <w:b/>
          <w:sz w:val="24"/>
        </w:rPr>
        <w:t xml:space="preserve"> (Popular Action)</w:t>
      </w:r>
    </w:p>
    <w:p>
      <w:pPr>
        <w:pStyle w:val="Normal"/>
        <w:ind w:start="72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privatization of Elektro) </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In July 1998, plaintiffs filed this public interest class action seeking annulment of the Elektro privatization challenging the valuation of the company.</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 xml:space="preserve">Enron presented its defense on November 3, 1999 and since then, procedural matters have been heard by the court. </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sz w:val="24"/>
        </w:rPr>
        <w:t xml:space="preserve">On June 6, 2000, the Judge ordered summons served on Elektro and Empresa Paranaense Comercializadore Ltda. </w:t>
      </w:r>
    </w:p>
    <w:p>
      <w:pPr>
        <w:pStyle w:val="Normal"/>
        <w:numPr>
          <w:ilvl w:val="0"/>
          <w:numId w:val="40"/>
        </w:numPr>
        <w:tabs>
          <w:tab w:val="clear" w:pos="720"/>
          <w:tab w:val="left" w:pos="1080" w:leader="none"/>
        </w:tabs>
        <w:ind w:hanging="360" w:start="1080" w:end="0"/>
        <w:jc w:val="both"/>
        <w:rPr>
          <w:rFonts w:ascii="Arial" w:hAnsi="Arial" w:cs="Arial"/>
          <w:sz w:val="24"/>
        </w:rPr>
      </w:pPr>
      <w:r>
        <w:rPr>
          <w:rFonts w:cs="Arial" w:ascii="Arial" w:hAnsi="Arial"/>
          <w:b/>
          <w:sz w:val="24"/>
        </w:rPr>
        <w:t>On September 11, 2000, the defenses of Elektro and EPC were presented and records were submitted to the judge for review.</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 xml:space="preserve">José Fedeli et al. v. CESP, Elektro et al. </w:t>
      </w:r>
      <w:r>
        <w:rPr>
          <w:rFonts w:cs="Arial" w:ascii="Arial" w:hAnsi="Arial"/>
          <w:b/>
          <w:sz w:val="24"/>
        </w:rPr>
        <w:tab/>
        <w:t>(New)</w:t>
      </w:r>
    </w:p>
    <w:p>
      <w:pPr>
        <w:pStyle w:val="Normal"/>
        <w:ind w:start="720" w:end="0"/>
        <w:rPr>
          <w:rFonts w:ascii="Arial" w:hAnsi="Arial" w:cs="Arial"/>
          <w:b/>
          <w:sz w:val="24"/>
        </w:rPr>
      </w:pPr>
      <w:r>
        <w:rPr>
          <w:rFonts w:cs="Arial" w:ascii="Arial" w:hAnsi="Arial"/>
          <w:b/>
          <w:sz w:val="24"/>
        </w:rPr>
        <w:t>(Popular Action)</w:t>
      </w:r>
    </w:p>
    <w:p>
      <w:pPr>
        <w:pStyle w:val="Normal"/>
        <w:ind w:start="72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sale of Elektro shares) </w:t>
      </w:r>
    </w:p>
    <w:p>
      <w:pPr>
        <w:pStyle w:val="Normal"/>
        <w:jc w:val="both"/>
        <w:rPr>
          <w:rFonts w:ascii="Arial" w:hAnsi="Arial" w:cs="Arial"/>
          <w:sz w:val="24"/>
        </w:rPr>
      </w:pPr>
      <w:r>
        <w:rPr>
          <w:rFonts w:cs="Arial" w:ascii="Arial" w:hAnsi="Arial"/>
          <w:sz w:val="24"/>
        </w:rPr>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On July 14, 1998, plaintiffs filed this public interest action seeking to annul the sale of CESP’s shares in Elektro arguing that the minimum price of the shares was inadequate.  Plaintiffs claim that there were problems relating to publication of the bidding process and that there was no government authorization for the sale.</w:t>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Elektro answered on December 26, 1999, and on September 4, 2000, the court ordered that an accounting and evaluation of assets be conducted.</w:t>
      </w:r>
    </w:p>
    <w:p>
      <w:pPr>
        <w:pStyle w:val="Normal"/>
        <w:numPr>
          <w:ilvl w:val="0"/>
          <w:numId w:val="53"/>
        </w:numPr>
        <w:tabs>
          <w:tab w:val="clear" w:pos="720"/>
          <w:tab w:val="left" w:pos="1080" w:leader="none"/>
        </w:tabs>
        <w:ind w:hanging="360" w:start="1080" w:end="0"/>
        <w:jc w:val="both"/>
        <w:rPr>
          <w:rFonts w:ascii="Arial" w:hAnsi="Arial" w:cs="Arial"/>
          <w:sz w:val="24"/>
        </w:rPr>
      </w:pPr>
      <w:r>
        <w:rPr>
          <w:rFonts w:cs="Arial" w:ascii="Arial" w:hAnsi="Arial"/>
          <w:sz w:val="24"/>
        </w:rPr>
        <w:t>Prior to September 25, 2000, Elektro handled this matter in-house.  On September 25, 2000, it was referred to the Tozzini firm who will file an interlocutory appeal seeking to have the court’s decision to have an accounting overturned and also attempting to have the case dismissed.  The order requiring the accounting has been stayed.</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Heading8"/>
        <w:keepLines/>
        <w:tabs>
          <w:tab w:val="clear" w:pos="720"/>
          <w:tab w:val="left" w:pos="7740" w:leader="none"/>
        </w:tabs>
        <w:ind w:hanging="0" w:start="720" w:end="0"/>
        <w:rPr>
          <w:i/>
          <w:i/>
          <w:u w:val="none"/>
        </w:rPr>
      </w:pPr>
      <w:r>
        <w:rPr/>
        <w:t>Overcharge Suits</w:t>
      </w:r>
      <w:r>
        <w:rPr>
          <w:i/>
          <w:u w:val="none"/>
        </w:rPr>
        <w:tab/>
      </w:r>
      <w:r>
        <w:rPr>
          <w:u w:val="none"/>
        </w:rPr>
        <w:t>(Updated)</w:t>
      </w:r>
    </w:p>
    <w:p>
      <w:pPr>
        <w:pStyle w:val="Normal"/>
        <w:keepNext w:val="true"/>
        <w:keepLines/>
        <w:ind w:start="720" w:end="0"/>
        <w:rPr>
          <w:rFonts w:ascii="Arial" w:hAnsi="Arial" w:cs="Arial"/>
          <w:sz w:val="24"/>
        </w:rPr>
      </w:pPr>
      <w:r>
        <w:rPr>
          <w:rFonts w:cs="Arial" w:ascii="Arial" w:hAnsi="Arial"/>
          <w:sz w:val="24"/>
        </w:rPr>
        <w:t>(State Court, São Paulo) (Elektro in-house) (Less than R$4.7 million/ US$2,650,000)</w:t>
      </w:r>
    </w:p>
    <w:p>
      <w:pPr>
        <w:pStyle w:val="Normal"/>
        <w:keepNext w:val="true"/>
        <w:keepLines/>
        <w:rPr>
          <w:rFonts w:ascii="Arial" w:hAnsi="Arial" w:cs="Arial"/>
          <w:sz w:val="24"/>
        </w:rPr>
      </w:pPr>
      <w:r>
        <w:rPr>
          <w:rFonts w:cs="Arial" w:ascii="Arial" w:hAnsi="Arial"/>
          <w:sz w:val="24"/>
        </w:rPr>
      </w:r>
    </w:p>
    <w:p>
      <w:pPr>
        <w:pStyle w:val="Heading8"/>
        <w:keepLines/>
        <w:numPr>
          <w:ilvl w:val="0"/>
          <w:numId w:val="3"/>
        </w:numPr>
        <w:tabs>
          <w:tab w:val="clear" w:pos="720"/>
          <w:tab w:val="left" w:pos="1080" w:leader="none"/>
        </w:tabs>
        <w:ind w:hanging="360" w:start="1080" w:end="0"/>
        <w:rPr>
          <w:b w:val="false"/>
          <w:u w:val="none"/>
        </w:rPr>
      </w:pPr>
      <w:r>
        <w:rPr>
          <w:b w:val="false"/>
          <w:u w:val="none"/>
        </w:rPr>
        <w:t>The Brazilian courts have determined that during a nine-month period in 1986 when government price controls were in effect Brazilian energy suppliers overcharged customers for power.</w:t>
      </w:r>
    </w:p>
    <w:p>
      <w:pPr>
        <w:pStyle w:val="Heading8"/>
        <w:keepLines/>
        <w:numPr>
          <w:ilvl w:val="0"/>
          <w:numId w:val="3"/>
        </w:numPr>
        <w:tabs>
          <w:tab w:val="clear" w:pos="720"/>
          <w:tab w:val="left" w:pos="1080" w:leader="none"/>
        </w:tabs>
        <w:ind w:hanging="360" w:start="1080" w:end="0"/>
        <w:rPr>
          <w:b w:val="false"/>
          <w:u w:val="none"/>
        </w:rPr>
      </w:pPr>
      <w:r>
        <w:rPr>
          <w:b w:val="false"/>
          <w:u w:val="none"/>
        </w:rPr>
        <w:t>Fourteen customers, several of which are municipalities, have filed suit against Elektro.  The aggregate amount of these claims is less than R$4.7 million.</w:t>
      </w:r>
    </w:p>
    <w:p>
      <w:pPr>
        <w:pStyle w:val="Normal"/>
        <w:numPr>
          <w:ilvl w:val="0"/>
          <w:numId w:val="73"/>
        </w:numPr>
        <w:tabs>
          <w:tab w:val="clear" w:pos="720"/>
          <w:tab w:val="left" w:pos="1080" w:leader="none"/>
        </w:tabs>
        <w:ind w:hanging="360" w:start="1080" w:end="0"/>
        <w:rPr>
          <w:rFonts w:ascii="Arial" w:hAnsi="Arial" w:cs="Arial"/>
          <w:b/>
          <w:sz w:val="24"/>
        </w:rPr>
      </w:pPr>
      <w:r>
        <w:rPr>
          <w:rFonts w:cs="Arial" w:ascii="Arial" w:hAnsi="Arial"/>
          <w:b/>
          <w:sz w:val="24"/>
        </w:rPr>
        <w:t>Elektro argues that the plaintiffs were not affected by the increase.</w:t>
      </w:r>
    </w:p>
    <w:p>
      <w:pPr>
        <w:pStyle w:val="Heading8"/>
        <w:keepLines/>
        <w:numPr>
          <w:ilvl w:val="0"/>
          <w:numId w:val="3"/>
        </w:numPr>
        <w:tabs>
          <w:tab w:val="clear" w:pos="720"/>
          <w:tab w:val="left" w:pos="1080" w:leader="none"/>
        </w:tabs>
        <w:ind w:hanging="360" w:start="1080" w:end="0"/>
        <w:rPr>
          <w:b w:val="false"/>
          <w:u w:val="none"/>
        </w:rPr>
      </w:pPr>
      <w:r>
        <w:rPr>
          <w:b w:val="false"/>
          <w:u w:val="none"/>
        </w:rPr>
        <w:t>The 20-year statute of limitation on such suits expires in 2006.</w:t>
      </w:r>
    </w:p>
    <w:p>
      <w:pPr>
        <w:pStyle w:val="Normal"/>
        <w:numPr>
          <w:ilvl w:val="0"/>
          <w:numId w:val="0"/>
        </w:numPr>
        <w:tabs>
          <w:tab w:val="clear" w:pos="720"/>
          <w:tab w:val="left" w:pos="7740" w:leader="none"/>
        </w:tabs>
        <w:ind w:hanging="0" w:start="0"/>
        <w:rPr>
          <w:rFonts w:ascii="Arial" w:hAnsi="Arial" w:cs="Arial"/>
          <w:b/>
          <w:sz w:val="24"/>
          <w:u w:val="none"/>
        </w:rPr>
      </w:pPr>
      <w:r>
        <w:rPr>
          <w:rFonts w:cs="Arial" w:ascii="Arial" w:hAnsi="Arial"/>
          <w:b/>
          <w:sz w:val="24"/>
          <w:u w:val="none"/>
        </w:rPr>
      </w:r>
    </w:p>
    <w:p>
      <w:pPr>
        <w:pStyle w:val="Normal"/>
        <w:numPr>
          <w:ilvl w:val="0"/>
          <w:numId w:val="0"/>
        </w:numPr>
        <w:tabs>
          <w:tab w:val="clear" w:pos="720"/>
          <w:tab w:val="left" w:pos="7740" w:leader="none"/>
        </w:tabs>
        <w:ind w:hanging="0" w:start="0"/>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s>
        <w:ind w:start="720" w:end="0"/>
        <w:jc w:val="both"/>
        <w:rPr/>
      </w:pPr>
      <w:r>
        <w:rPr>
          <w:rFonts w:cs="Arial" w:ascii="Arial" w:hAnsi="Arial"/>
          <w:b/>
          <w:sz w:val="24"/>
          <w:u w:val="single"/>
        </w:rPr>
        <w:t>Brazilian Institute for the Consumer Defense (IDEC) v.</w:t>
      </w:r>
      <w:r>
        <w:rPr>
          <w:rFonts w:cs="Arial" w:ascii="Arial" w:hAnsi="Arial"/>
          <w:b/>
          <w:sz w:val="24"/>
        </w:rPr>
        <w:tab/>
        <w:t>(Updated)</w:t>
      </w:r>
    </w:p>
    <w:p>
      <w:pPr>
        <w:pStyle w:val="Normal"/>
        <w:tabs>
          <w:tab w:val="clear" w:pos="720"/>
          <w:tab w:val="left" w:pos="1080" w:leader="none"/>
          <w:tab w:val="left" w:pos="1170" w:leader="none"/>
          <w:tab w:val="left" w:pos="7740" w:leader="none"/>
        </w:tabs>
        <w:ind w:start="720" w:end="0"/>
        <w:jc w:val="both"/>
        <w:rPr>
          <w:rFonts w:ascii="Arial" w:hAnsi="Arial" w:cs="Arial"/>
          <w:b/>
          <w:sz w:val="24"/>
        </w:rPr>
      </w:pPr>
      <w:r>
        <w:rPr>
          <w:rFonts w:cs="Arial" w:ascii="Arial" w:hAnsi="Arial"/>
          <w:b/>
          <w:sz w:val="24"/>
          <w:u w:val="single"/>
        </w:rPr>
        <w:t>Elektro et al.</w:t>
      </w:r>
    </w:p>
    <w:p>
      <w:pPr>
        <w:pStyle w:val="Normal"/>
        <w:tabs>
          <w:tab w:val="clear" w:pos="720"/>
          <w:tab w:val="left" w:pos="1080" w:leader="none"/>
          <w:tab w:val="left" w:pos="1170" w:leader="none"/>
          <w:tab w:val="left" w:pos="7740" w:leader="none"/>
          <w:tab w:val="left" w:pos="8370" w:leader="none"/>
        </w:tabs>
        <w:ind w:start="72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(at least US$550,000 </w:t>
      </w:r>
      <w:r>
        <w:rPr>
          <w:rFonts w:cs="Arial" w:ascii="Arial" w:hAnsi="Arial"/>
          <w:b/>
          <w:sz w:val="24"/>
        </w:rPr>
        <w:t>as of September 1999</w:t>
      </w:r>
      <w:r>
        <w:rPr>
          <w:rFonts w:cs="Arial" w:ascii="Arial" w:hAnsi="Arial"/>
          <w:sz w:val="24"/>
        </w:rPr>
        <w:t xml:space="preserve">) </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 xml:space="preserve">On August 26, 1999, the Brazilian Institute for the Consumer Defense, a non-profit civil organization, filed a class-action suit against Elektro and others which seeks </w:t>
      </w:r>
      <w:r>
        <w:rPr>
          <w:rFonts w:cs="Arial" w:ascii="Arial" w:hAnsi="Arial"/>
          <w:i/>
          <w:sz w:val="24"/>
        </w:rPr>
        <w:t>inter alia</w:t>
      </w:r>
      <w:r>
        <w:rPr>
          <w:rFonts w:cs="Arial" w:ascii="Arial" w:hAnsi="Arial"/>
          <w:sz w:val="24"/>
        </w:rPr>
        <w:t xml:space="preserve"> to enjoin the tariff increase granted by the government in June 1999 (16.34% for Elektro).</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Elektro was served on September 1, 1999, and filed its response and objection to the injunction on September 6, 1999.</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On October 1, 1999, the court denied IDEC’s request for an injunction suspending the tariff increase.</w:t>
      </w:r>
    </w:p>
    <w:p>
      <w:pPr>
        <w:pStyle w:val="Normal"/>
        <w:numPr>
          <w:ilvl w:val="0"/>
          <w:numId w:val="47"/>
        </w:numPr>
        <w:tabs>
          <w:tab w:val="clear" w:pos="720"/>
          <w:tab w:val="left" w:pos="1080" w:leader="none"/>
        </w:tabs>
        <w:ind w:hanging="360" w:start="1080" w:end="0"/>
        <w:rPr>
          <w:rFonts w:ascii="Arial" w:hAnsi="Arial" w:cs="Arial"/>
          <w:sz w:val="24"/>
        </w:rPr>
      </w:pPr>
      <w:r>
        <w:rPr>
          <w:rFonts w:cs="Arial" w:ascii="Arial" w:hAnsi="Arial"/>
          <w:sz w:val="24"/>
        </w:rPr>
        <w:t xml:space="preserve">A decision on the merits is still pending.  </w:t>
      </w:r>
      <w:r>
        <w:rPr>
          <w:rFonts w:cs="Arial" w:ascii="Arial" w:hAnsi="Arial"/>
          <w:b/>
          <w:sz w:val="24"/>
        </w:rPr>
        <w:t xml:space="preserve">Should the plaintiffs win, consumers could receive a 16.34% refund of the amounts collected by Elektro.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keepLines/>
        <w:ind w:start="720" w:end="0"/>
        <w:rPr>
          <w:rFonts w:ascii="Arial" w:hAnsi="Arial" w:cs="Arial"/>
          <w:sz w:val="24"/>
        </w:rPr>
      </w:pPr>
      <w:r>
        <w:rPr>
          <w:rFonts w:cs="Arial" w:ascii="Arial" w:hAnsi="Arial"/>
          <w:sz w:val="24"/>
        </w:rPr>
        <w:t>Listed below are the expropriation claims filed by or against Elektro involving amounts in excess of $100,000.</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rPr/>
      </w:pPr>
      <w:r>
        <w:rPr>
          <w:rFonts w:cs="Arial" w:ascii="Arial" w:hAnsi="Arial"/>
          <w:b/>
          <w:sz w:val="24"/>
          <w:u w:val="single"/>
        </w:rPr>
        <w:t>Elektro v. Agreste Construtora e Agricola Ltda.</w:t>
      </w:r>
      <w:r>
        <w:rPr>
          <w:rFonts w:cs="Arial" w:ascii="Arial" w:hAnsi="Arial"/>
          <w:b/>
          <w:sz w:val="24"/>
        </w:rPr>
        <w:tab/>
        <w:t>(Updated)</w:t>
      </w:r>
    </w:p>
    <w:p>
      <w:pPr>
        <w:pStyle w:val="Normal"/>
        <w:keepNext w:val="true"/>
        <w:keepLines/>
        <w:tabs>
          <w:tab w:val="clear" w:pos="720"/>
          <w:tab w:val="left" w:pos="7740" w:leader="none"/>
        </w:tabs>
        <w:ind w:start="720" w:end="0"/>
        <w:rPr>
          <w:rFonts w:ascii="Arial" w:hAnsi="Arial" w:cs="Arial"/>
          <w:b/>
          <w:sz w:val="24"/>
        </w:rPr>
      </w:pPr>
      <w:r>
        <w:rPr>
          <w:rFonts w:cs="Arial" w:ascii="Arial" w:hAnsi="Arial"/>
          <w:b/>
          <w:sz w:val="24"/>
          <w:u w:val="single"/>
        </w:rPr>
        <w:t>Agreste Constutora e Agricola Ltda. v. Elektro</w:t>
      </w:r>
    </w:p>
    <w:p>
      <w:pPr>
        <w:pStyle w:val="Normal"/>
        <w:keepNext w:val="true"/>
        <w:keepLines/>
        <w:ind w:start="72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(R$5,815,205.60/US$3,233,903) </w:t>
      </w:r>
    </w:p>
    <w:p>
      <w:pPr>
        <w:pStyle w:val="Normal"/>
        <w:keepNext w:val="true"/>
        <w:keepLines/>
        <w:rPr>
          <w:rFonts w:ascii="Arial" w:hAnsi="Arial" w:cs="Arial"/>
          <w:sz w:val="24"/>
        </w:rPr>
      </w:pPr>
      <w:r>
        <w:rPr>
          <w:rFonts w:cs="Arial" w:ascii="Arial" w:hAnsi="Arial"/>
          <w:sz w:val="24"/>
        </w:rPr>
      </w:r>
    </w:p>
    <w:p>
      <w:pPr>
        <w:pStyle w:val="Normal"/>
        <w:keepNext w:val="true"/>
        <w:keepLines/>
        <w:numPr>
          <w:ilvl w:val="0"/>
          <w:numId w:val="23"/>
        </w:numPr>
        <w:tabs>
          <w:tab w:val="clear" w:pos="720"/>
          <w:tab w:val="left" w:pos="1080" w:leader="none"/>
        </w:tabs>
        <w:ind w:hanging="360" w:start="1080" w:end="0"/>
        <w:rPr>
          <w:rFonts w:ascii="Arial" w:hAnsi="Arial" w:cs="Arial"/>
          <w:sz w:val="24"/>
        </w:rPr>
      </w:pPr>
      <w:r>
        <w:rPr>
          <w:rFonts w:cs="Arial" w:ascii="Arial" w:hAnsi="Arial"/>
          <w:sz w:val="24"/>
        </w:rPr>
        <w:t>Elektro filed these two expropriation suits in1986 and 1987 to obtain possession of portions of 433.420 meters of land in Bom Jesus dos Perdões, São Paulo necessary to install electricity stations and towers.</w:t>
      </w:r>
    </w:p>
    <w:p>
      <w:pPr>
        <w:pStyle w:val="Normal"/>
        <w:numPr>
          <w:ilvl w:val="0"/>
          <w:numId w:val="23"/>
        </w:numPr>
        <w:tabs>
          <w:tab w:val="clear" w:pos="720"/>
          <w:tab w:val="left" w:pos="1080" w:leader="none"/>
        </w:tabs>
        <w:ind w:hanging="360" w:start="1080" w:end="0"/>
        <w:rPr>
          <w:rFonts w:ascii="Arial" w:hAnsi="Arial" w:cs="Arial"/>
          <w:sz w:val="24"/>
        </w:rPr>
      </w:pPr>
      <w:r>
        <w:rPr>
          <w:rFonts w:cs="Arial" w:ascii="Arial" w:hAnsi="Arial"/>
          <w:sz w:val="24"/>
        </w:rPr>
        <w:t>The first suit sought possession of 12.842,02 meters and the second suit sought possession of more than 0.5588 hectares.</w:t>
      </w:r>
    </w:p>
    <w:p>
      <w:pPr>
        <w:pStyle w:val="Normal"/>
        <w:numPr>
          <w:ilvl w:val="0"/>
          <w:numId w:val="34"/>
        </w:numPr>
        <w:tabs>
          <w:tab w:val="clear" w:pos="720"/>
          <w:tab w:val="left" w:pos="1080" w:leader="none"/>
        </w:tabs>
        <w:ind w:hanging="360" w:start="1080" w:end="0"/>
        <w:rPr>
          <w:rFonts w:ascii="Arial" w:hAnsi="Arial" w:cs="Arial"/>
          <w:sz w:val="24"/>
        </w:rPr>
      </w:pPr>
      <w:r>
        <w:rPr>
          <w:rFonts w:cs="Arial" w:ascii="Arial" w:hAnsi="Arial"/>
          <w:sz w:val="24"/>
        </w:rPr>
        <w:t>In September 1987, a court-appointed expert assessed the value of the subject property as R$1.25 million.</w:t>
      </w:r>
    </w:p>
    <w:p>
      <w:pPr>
        <w:pStyle w:val="Normal"/>
        <w:numPr>
          <w:ilvl w:val="0"/>
          <w:numId w:val="68"/>
        </w:numPr>
        <w:tabs>
          <w:tab w:val="clear" w:pos="720"/>
          <w:tab w:val="left" w:pos="1080" w:leader="none"/>
        </w:tabs>
        <w:ind w:hanging="360" w:start="1080" w:end="0"/>
        <w:rPr>
          <w:rFonts w:ascii="Arial" w:hAnsi="Arial" w:cs="Arial"/>
          <w:b/>
          <w:sz w:val="24"/>
        </w:rPr>
      </w:pPr>
      <w:r>
        <w:rPr>
          <w:rFonts w:cs="Arial" w:ascii="Arial" w:hAnsi="Arial"/>
          <w:b/>
          <w:sz w:val="24"/>
        </w:rPr>
        <w:t>The judge accepted the expert's valuation thereby ruling against Elektro and on February 21, 2000 Elektro appealed to the federal court of appeals.  Briefing has been submitted and Elektro’s appeal has been before the federal court since July 28, 2000.</w:t>
      </w:r>
    </w:p>
    <w:p>
      <w:pPr>
        <w:pStyle w:val="Normal"/>
        <w:numPr>
          <w:ilvl w:val="0"/>
          <w:numId w:val="68"/>
        </w:numPr>
        <w:tabs>
          <w:tab w:val="clear" w:pos="720"/>
          <w:tab w:val="left" w:pos="1080" w:leader="none"/>
        </w:tabs>
        <w:ind w:hanging="360" w:start="1080" w:end="0"/>
        <w:rPr>
          <w:rFonts w:ascii="Arial" w:hAnsi="Arial" w:cs="Arial"/>
          <w:b/>
          <w:sz w:val="24"/>
        </w:rPr>
      </w:pPr>
      <w:r>
        <w:rPr>
          <w:rFonts w:cs="Arial" w:ascii="Arial" w:hAnsi="Arial"/>
          <w:b/>
          <w:sz w:val="24"/>
        </w:rPr>
        <w:t>In a related suit, Agreste also claimed losses and damages allegedly sustained to his adjoining property not directly expropriated by Elektro.  This claim was dismissed and has been appealed.  No ruling on this matter has yet been issued.</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Elektro v. Jose Lopes et al.</w:t>
      </w:r>
      <w:r>
        <w:rPr>
          <w:rFonts w:cs="Arial" w:ascii="Arial" w:hAnsi="Arial"/>
          <w:b/>
          <w:sz w:val="24"/>
        </w:rPr>
        <w:t xml:space="preserve"> </w:t>
        <w:tab/>
        <w:t>(Updated)</w:t>
      </w:r>
    </w:p>
    <w:p>
      <w:pPr>
        <w:pStyle w:val="Normal"/>
        <w:ind w:start="720" w:end="0"/>
        <w:rPr/>
      </w:pPr>
      <w:r>
        <w:rPr>
          <w:rFonts w:cs="Arial" w:ascii="Arial" w:hAnsi="Arial"/>
          <w:sz w:val="24"/>
        </w:rPr>
        <w:t>(8</w:t>
      </w:r>
      <w:r>
        <w:rPr>
          <w:rFonts w:cs="Arial" w:ascii="Arial" w:hAnsi="Arial"/>
          <w:sz w:val="24"/>
          <w:vertAlign w:val="superscript"/>
        </w:rPr>
        <w:t>th</w:t>
      </w:r>
      <w:r>
        <w:rPr>
          <w:rFonts w:cs="Arial" w:ascii="Arial" w:hAnsi="Arial"/>
          <w:sz w:val="24"/>
        </w:rPr>
        <w:t xml:space="preserve"> Federal Court of São Paulo) (Fernando Serec/Tozzini, Freire, Teixeira &amp; Silva) (R$410,127.93/US$228,076.92) </w:t>
      </w:r>
    </w:p>
    <w:p>
      <w:pPr>
        <w:pStyle w:val="Normal"/>
        <w:rPr>
          <w:rFonts w:ascii="Arial" w:hAnsi="Arial" w:cs="Arial"/>
          <w:sz w:val="24"/>
        </w:rPr>
      </w:pPr>
      <w:r>
        <w:rPr>
          <w:rFonts w:cs="Arial" w:ascii="Arial" w:hAnsi="Arial"/>
          <w:sz w:val="24"/>
        </w:rPr>
      </w:r>
    </w:p>
    <w:p>
      <w:pPr>
        <w:pStyle w:val="Normal"/>
        <w:numPr>
          <w:ilvl w:val="0"/>
          <w:numId w:val="13"/>
        </w:numPr>
        <w:tabs>
          <w:tab w:val="clear" w:pos="720"/>
          <w:tab w:val="left" w:pos="1080" w:leader="none"/>
        </w:tabs>
        <w:ind w:hanging="360" w:start="1080" w:end="0"/>
        <w:rPr>
          <w:rFonts w:ascii="Arial" w:hAnsi="Arial" w:cs="Arial"/>
          <w:sz w:val="24"/>
        </w:rPr>
      </w:pPr>
      <w:r>
        <w:rPr>
          <w:rFonts w:cs="Arial" w:ascii="Arial" w:hAnsi="Arial"/>
          <w:sz w:val="24"/>
        </w:rPr>
        <w:t>Elektro filed this lawsuit on March 11, 1986, to obtain possession of 1,8056 hectares in Guaruja, State of São Paulo, to install an electricity station and transmission towers.</w:t>
      </w:r>
    </w:p>
    <w:p>
      <w:pPr>
        <w:pStyle w:val="Normal"/>
        <w:numPr>
          <w:ilvl w:val="0"/>
          <w:numId w:val="13"/>
        </w:numPr>
        <w:tabs>
          <w:tab w:val="clear" w:pos="720"/>
          <w:tab w:val="left" w:pos="1080" w:leader="none"/>
        </w:tabs>
        <w:ind w:hanging="360" w:start="1080" w:end="0"/>
        <w:rPr>
          <w:rFonts w:ascii="Arial" w:hAnsi="Arial" w:cs="Arial"/>
          <w:sz w:val="24"/>
        </w:rPr>
      </w:pPr>
      <w:r>
        <w:rPr>
          <w:rFonts w:cs="Arial" w:ascii="Arial" w:hAnsi="Arial"/>
          <w:sz w:val="24"/>
        </w:rPr>
        <w:t>On December 18, 1998, the court required Elektro to pay $151,640.03 plus interest and attorney fees.</w:t>
      </w:r>
    </w:p>
    <w:p>
      <w:pPr>
        <w:pStyle w:val="Normal"/>
        <w:numPr>
          <w:ilvl w:val="0"/>
          <w:numId w:val="13"/>
        </w:numPr>
        <w:tabs>
          <w:tab w:val="clear" w:pos="720"/>
          <w:tab w:val="left" w:pos="1080" w:leader="none"/>
        </w:tabs>
        <w:ind w:hanging="360" w:start="1080" w:end="0"/>
        <w:rPr>
          <w:rFonts w:ascii="Arial" w:hAnsi="Arial" w:cs="Arial"/>
          <w:b/>
          <w:sz w:val="24"/>
        </w:rPr>
      </w:pPr>
      <w:r>
        <w:rPr>
          <w:rFonts w:cs="Arial" w:ascii="Arial" w:hAnsi="Arial"/>
          <w:b/>
          <w:sz w:val="24"/>
        </w:rPr>
        <w:t>On April 9, 1999, plaintiffs appealed this decision seeking the amount set forth above rather than the amount ordered by the court.  On August 30, 1999, the suit was sent to the regional federal court and has been under consideration since November 23, 1999.</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Espólio de Fuad Anauate v. Elektro</w:t>
      </w:r>
      <w:r>
        <w:rPr>
          <w:rFonts w:cs="Arial" w:ascii="Arial" w:hAnsi="Arial"/>
          <w:b/>
          <w:sz w:val="24"/>
        </w:rPr>
        <w:tab/>
        <w:t>(Updated)</w:t>
      </w:r>
    </w:p>
    <w:p>
      <w:pPr>
        <w:pStyle w:val="Normal"/>
        <w:ind w:start="720" w:end="0"/>
        <w:rPr/>
      </w:pPr>
      <w:r>
        <w:rPr>
          <w:rFonts w:cs="Arial" w:ascii="Arial" w:hAnsi="Arial"/>
          <w:sz w:val="24"/>
        </w:rPr>
        <w:t>(18</w:t>
      </w:r>
      <w:r>
        <w:rPr>
          <w:rFonts w:cs="Arial" w:ascii="Arial" w:hAnsi="Arial"/>
          <w:sz w:val="24"/>
          <w:vertAlign w:val="superscript"/>
        </w:rPr>
        <w:t>th</w:t>
      </w:r>
      <w:r>
        <w:rPr>
          <w:rFonts w:cs="Arial" w:ascii="Arial" w:hAnsi="Arial"/>
          <w:sz w:val="24"/>
        </w:rPr>
        <w:t xml:space="preserve"> Federal Court of São Paulo) (Fernando Serec/Tozzini, Freire, Teixeira &amp; Silva) (R$1,486,759/US$840,000) </w:t>
      </w:r>
    </w:p>
    <w:p>
      <w:pPr>
        <w:pStyle w:val="Normal"/>
        <w:rPr>
          <w:rFonts w:ascii="Arial" w:hAnsi="Arial" w:cs="Arial"/>
          <w:sz w:val="24"/>
        </w:rPr>
      </w:pPr>
      <w:r>
        <w:rPr>
          <w:rFonts w:cs="Arial" w:ascii="Arial" w:hAnsi="Arial"/>
          <w:sz w:val="24"/>
        </w:rPr>
      </w:r>
    </w:p>
    <w:p>
      <w:pPr>
        <w:pStyle w:val="Normal"/>
        <w:numPr>
          <w:ilvl w:val="0"/>
          <w:numId w:val="51"/>
        </w:numPr>
        <w:tabs>
          <w:tab w:val="clear" w:pos="720"/>
          <w:tab w:val="left" w:pos="1080" w:leader="none"/>
        </w:tabs>
        <w:ind w:hanging="360" w:start="1080" w:end="0"/>
        <w:rPr>
          <w:rFonts w:ascii="Arial" w:hAnsi="Arial" w:cs="Arial"/>
          <w:sz w:val="24"/>
        </w:rPr>
      </w:pPr>
      <w:r>
        <w:rPr>
          <w:rFonts w:cs="Arial" w:ascii="Arial" w:hAnsi="Arial"/>
          <w:sz w:val="24"/>
        </w:rPr>
        <w:t xml:space="preserve">Landowners filed this suit in March 1980 concerning 9.955,68 meters of land expropriated by CESP to install an electricity station and transmission towers. </w:t>
      </w:r>
    </w:p>
    <w:p>
      <w:pPr>
        <w:pStyle w:val="Normal"/>
        <w:numPr>
          <w:ilvl w:val="0"/>
          <w:numId w:val="56"/>
        </w:numPr>
        <w:tabs>
          <w:tab w:val="clear" w:pos="720"/>
          <w:tab w:val="left" w:pos="1080" w:leader="none"/>
        </w:tabs>
        <w:ind w:hanging="360" w:start="1080" w:end="0"/>
        <w:rPr>
          <w:rFonts w:ascii="Arial" w:hAnsi="Arial" w:cs="Arial"/>
          <w:sz w:val="24"/>
        </w:rPr>
      </w:pPr>
      <w:r>
        <w:rPr>
          <w:rFonts w:cs="Arial" w:ascii="Arial" w:hAnsi="Arial"/>
          <w:sz w:val="24"/>
        </w:rPr>
        <w:t>The parties are awaiting the court’s decision.  In the meantime, Elektro has alleged that the federal court has no jurisdiction in this matter and the judge has required the Federal Union to file a manifestation concerning Elektro’s allegations.</w:t>
      </w:r>
    </w:p>
    <w:p>
      <w:pPr>
        <w:pStyle w:val="Normal"/>
        <w:numPr>
          <w:ilvl w:val="0"/>
          <w:numId w:val="56"/>
        </w:numPr>
        <w:tabs>
          <w:tab w:val="clear" w:pos="720"/>
          <w:tab w:val="left" w:pos="1080" w:leader="none"/>
        </w:tabs>
        <w:ind w:hanging="360" w:start="1080" w:end="0"/>
        <w:rPr>
          <w:rFonts w:ascii="Arial" w:hAnsi="Arial" w:cs="Arial"/>
          <w:sz w:val="24"/>
        </w:rPr>
      </w:pPr>
      <w:r>
        <w:rPr>
          <w:rFonts w:cs="Arial" w:ascii="Arial" w:hAnsi="Arial"/>
          <w:b/>
          <w:sz w:val="24"/>
        </w:rPr>
        <w:t>The parties are currently discussing settlement.</w:t>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keepLines/>
        <w:ind w:start="720" w:end="0"/>
        <w:rPr>
          <w:rFonts w:ascii="Arial" w:hAnsi="Arial" w:cs="Arial"/>
          <w:sz w:val="24"/>
        </w:rPr>
      </w:pPr>
      <w:r>
        <w:rPr>
          <w:rFonts w:cs="Arial" w:ascii="Arial" w:hAnsi="Arial"/>
          <w:sz w:val="24"/>
        </w:rPr>
        <w:t>Listed below are the labor matters filed against Elektro involving claims in excess of $100,000.</w:t>
      </w:r>
    </w:p>
    <w:p>
      <w:pPr>
        <w:pStyle w:val="BodyText"/>
        <w:keepNext w:val="true"/>
        <w:keepLines/>
        <w:rPr>
          <w:rFonts w:ascii="Arial" w:hAnsi="Arial" w:cs="Arial"/>
          <w:sz w:val="24"/>
        </w:rPr>
      </w:pPr>
      <w:r>
        <w:rPr>
          <w:rFonts w:cs="Arial"/>
          <w:sz w:val="24"/>
        </w:rPr>
      </w:r>
    </w:p>
    <w:p>
      <w:pPr>
        <w:pStyle w:val="BodyText"/>
        <w:keepNext w:val="true"/>
        <w:keepLines/>
        <w:tabs>
          <w:tab w:val="clear" w:pos="720"/>
          <w:tab w:val="left" w:pos="7740" w:leader="none"/>
        </w:tabs>
        <w:ind w:firstLine="720" w:end="0"/>
        <w:rPr/>
      </w:pPr>
      <w:r>
        <w:rPr>
          <w:b/>
          <w:u w:val="single"/>
        </w:rPr>
        <w:t xml:space="preserve">Sindicato dos Trabalhadores nas Industria de </w:t>
      </w:r>
      <w:r>
        <w:rPr>
          <w:b/>
        </w:rPr>
        <w:tab/>
        <w:t>(Updated)</w:t>
      </w:r>
    </w:p>
    <w:p>
      <w:pPr>
        <w:pStyle w:val="BodyText"/>
        <w:keepNext w:val="true"/>
        <w:keepLines/>
        <w:tabs>
          <w:tab w:val="clear" w:pos="720"/>
          <w:tab w:val="left" w:pos="7740" w:leader="none"/>
        </w:tabs>
        <w:ind w:firstLine="720" w:end="0"/>
        <w:rPr/>
      </w:pPr>
      <w:r>
        <w:rPr>
          <w:b/>
          <w:u w:val="single"/>
        </w:rPr>
        <w:t>Energia Electrica de Compinas v. CESP</w:t>
      </w:r>
      <w:r>
        <w:rPr>
          <w:b/>
        </w:rPr>
        <w:tab/>
      </w:r>
    </w:p>
    <w:p>
      <w:pPr>
        <w:pStyle w:val="BodyText"/>
        <w:keepNext w:val="true"/>
        <w:keepLines/>
        <w:ind w:start="720" w:end="0"/>
        <w:jc w:val="start"/>
        <w:rPr/>
      </w:pPr>
      <w:r>
        <w:rPr/>
        <w:t xml:space="preserve">(Superior Labor Court) (Fernando Serec/Tozzini, Freire, Teixeira &amp; Silva) (best estimated to be as much as $29,905,444/US$17,000,000 plus resulting changes to how employees’ future compensation is determined) </w:t>
      </w:r>
    </w:p>
    <w:p>
      <w:pPr>
        <w:pStyle w:val="BodyText"/>
        <w:keepNext w:val="true"/>
        <w:keepLines/>
        <w:ind w:start="720" w:end="0"/>
        <w:jc w:val="start"/>
        <w:rPr/>
      </w:pPr>
      <w:r>
        <w:rPr/>
      </w:r>
    </w:p>
    <w:p>
      <w:pPr>
        <w:pStyle w:val="BodyText"/>
        <w:numPr>
          <w:ilvl w:val="0"/>
          <w:numId w:val="4"/>
        </w:numPr>
        <w:tabs>
          <w:tab w:val="clear" w:pos="720"/>
          <w:tab w:val="left" w:pos="1080" w:leader="none"/>
        </w:tabs>
        <w:ind w:hanging="360" w:start="1080" w:end="0"/>
        <w:rPr>
          <w:b/>
          <w:u w:val="single"/>
        </w:rPr>
      </w:pPr>
      <w:r>
        <w:rPr>
          <w:b/>
        </w:rPr>
        <w:t xml:space="preserve">The Union filed this claim in 1994 alleging </w:t>
      </w:r>
      <w:r>
        <w:rPr>
          <w:b/>
          <w:i/>
        </w:rPr>
        <w:t>inter alia</w:t>
      </w:r>
      <w:r>
        <w:rPr>
          <w:b/>
        </w:rPr>
        <w:t xml:space="preserve"> that its members were entitled to payment of a 30% hazardous pay premium based, not just on their base salary, but also based on their base salary plus bonus, Christmas bonus, vacation pay, </w:t>
      </w:r>
      <w:r>
        <w:rPr>
          <w:b/>
          <w:i/>
        </w:rPr>
        <w:t>etc</w:t>
      </w:r>
      <w:r>
        <w:rPr>
          <w:b/>
        </w:rPr>
        <w:t>.</w:t>
      </w:r>
    </w:p>
    <w:p>
      <w:pPr>
        <w:pStyle w:val="BodyText"/>
        <w:numPr>
          <w:ilvl w:val="0"/>
          <w:numId w:val="4"/>
        </w:numPr>
        <w:tabs>
          <w:tab w:val="clear" w:pos="720"/>
          <w:tab w:val="left" w:pos="1080" w:leader="none"/>
        </w:tabs>
        <w:ind w:hanging="360" w:start="1080" w:end="0"/>
        <w:rPr>
          <w:b/>
          <w:u w:val="single"/>
        </w:rPr>
      </w:pPr>
      <w:r>
        <w:rPr>
          <w:b/>
        </w:rPr>
        <w:t>Outside counsel notes that the union’s position is not consistent with decisions of the Superior Labor Court.</w:t>
      </w:r>
    </w:p>
    <w:p>
      <w:pPr>
        <w:pStyle w:val="BodyText"/>
        <w:numPr>
          <w:ilvl w:val="0"/>
          <w:numId w:val="4"/>
        </w:numPr>
        <w:tabs>
          <w:tab w:val="clear" w:pos="720"/>
          <w:tab w:val="left" w:pos="1080" w:leader="none"/>
        </w:tabs>
        <w:ind w:hanging="360" w:start="1080" w:end="0"/>
        <w:rPr>
          <w:u w:val="single"/>
        </w:rPr>
      </w:pPr>
      <w:r>
        <w:rPr/>
        <w:t>Elektro lost at the lower court and on appeal to the regional labor court.  The case is pending on appeal before the Superior Labor Court.</w:t>
      </w:r>
    </w:p>
    <w:p>
      <w:pPr>
        <w:pStyle w:val="BodyText"/>
        <w:rPr>
          <w:u w:val="single"/>
        </w:rPr>
      </w:pPr>
      <w:r>
        <w:rPr>
          <w:u w:val="single"/>
        </w:rPr>
      </w:r>
    </w:p>
    <w:p>
      <w:pPr>
        <w:pStyle w:val="BodyText"/>
        <w:tabs>
          <w:tab w:val="clear" w:pos="720"/>
          <w:tab w:val="left" w:pos="7740" w:leader="none"/>
        </w:tabs>
        <w:rPr/>
      </w:pPr>
      <w:r>
        <w:rPr/>
      </w:r>
    </w:p>
    <w:p>
      <w:pPr>
        <w:pStyle w:val="BodyText"/>
        <w:keepNext w:val="true"/>
        <w:keepLines/>
        <w:tabs>
          <w:tab w:val="clear" w:pos="720"/>
          <w:tab w:val="left" w:pos="7740" w:leader="none"/>
        </w:tabs>
        <w:ind w:firstLine="720" w:end="0"/>
        <w:rPr/>
      </w:pPr>
      <w:r>
        <w:rPr>
          <w:b/>
          <w:u w:val="single"/>
        </w:rPr>
        <w:t xml:space="preserve">Sindicato dos Trabalhadores nas Industrias de </w:t>
      </w:r>
      <w:r>
        <w:rPr>
          <w:b/>
        </w:rPr>
        <w:tab/>
        <w:t>(Updated)</w:t>
      </w:r>
    </w:p>
    <w:p>
      <w:pPr>
        <w:pStyle w:val="BodyText"/>
        <w:keepNext w:val="true"/>
        <w:keepLines/>
        <w:tabs>
          <w:tab w:val="clear" w:pos="720"/>
          <w:tab w:val="left" w:pos="7740" w:leader="none"/>
        </w:tabs>
        <w:ind w:firstLine="720" w:end="0"/>
        <w:rPr>
          <w:b/>
        </w:rPr>
      </w:pPr>
      <w:r>
        <w:rPr>
          <w:b/>
          <w:u w:val="single"/>
        </w:rPr>
        <w:t>Energia Electrica de Itanhaem v. CESP</w:t>
      </w:r>
    </w:p>
    <w:p>
      <w:pPr>
        <w:pStyle w:val="BodyText"/>
        <w:keepNext w:val="true"/>
        <w:keepLines/>
        <w:ind w:start="720" w:end="0"/>
        <w:jc w:val="start"/>
        <w:rPr/>
      </w:pPr>
      <w:r>
        <w:rPr/>
        <w:t xml:space="preserve">(Board of Conciliation and Judgment of the City of Itanhaem) (Fernando Serec/Tozzini, Freire, Teixeira &amp; Silva) (best estimated to be as much as R$415,000/US$235,000 plus resulting changes to how employees’ future compensation is determined) </w:t>
      </w:r>
    </w:p>
    <w:p>
      <w:pPr>
        <w:pStyle w:val="BodyText"/>
        <w:ind w:start="720" w:end="0"/>
        <w:rPr/>
      </w:pPr>
      <w:r>
        <w:rPr/>
      </w:r>
    </w:p>
    <w:p>
      <w:pPr>
        <w:pStyle w:val="BodyText"/>
        <w:numPr>
          <w:ilvl w:val="0"/>
          <w:numId w:val="43"/>
        </w:numPr>
        <w:tabs>
          <w:tab w:val="clear" w:pos="720"/>
          <w:tab w:val="left" w:pos="1080" w:leader="none"/>
        </w:tabs>
        <w:ind w:hanging="360" w:start="1080" w:end="0"/>
        <w:rPr>
          <w:b/>
        </w:rPr>
      </w:pPr>
      <w:r>
        <w:rPr>
          <w:b/>
        </w:rPr>
        <w:t>This case involves the union’s claim that its members are entitled to payment of their bonus and overtime payments based not only on base salary, but also based on the addition of the 30% risk premium to their base pay.</w:t>
      </w:r>
    </w:p>
    <w:p>
      <w:pPr>
        <w:pStyle w:val="BodyText"/>
        <w:numPr>
          <w:ilvl w:val="0"/>
          <w:numId w:val="43"/>
        </w:numPr>
        <w:tabs>
          <w:tab w:val="clear" w:pos="720"/>
          <w:tab w:val="left" w:pos="1080" w:leader="none"/>
        </w:tabs>
        <w:ind w:hanging="360" w:start="1080" w:end="0"/>
        <w:rPr>
          <w:b/>
        </w:rPr>
      </w:pPr>
      <w:r>
        <w:rPr>
          <w:b/>
        </w:rPr>
        <w:t>Outside counsel notes that the union’s position is consistent with the majority of labor courts.</w:t>
      </w:r>
    </w:p>
    <w:p>
      <w:pPr>
        <w:pStyle w:val="BodyText"/>
        <w:numPr>
          <w:ilvl w:val="0"/>
          <w:numId w:val="43"/>
        </w:numPr>
        <w:tabs>
          <w:tab w:val="clear" w:pos="720"/>
          <w:tab w:val="left" w:pos="1080" w:leader="none"/>
        </w:tabs>
        <w:ind w:hanging="360" w:start="1080" w:end="0"/>
        <w:rPr/>
      </w:pPr>
      <w:r>
        <w:rPr/>
        <w:t xml:space="preserve">Elektro moved to be joined as a party; however, on June 1, 2000, the court denied this request and scheduled a judgment hearing for </w:t>
      </w:r>
      <w:r>
        <w:rPr>
          <w:b/>
        </w:rPr>
        <w:t>November 21, 2000.</w:t>
      </w:r>
    </w:p>
    <w:p>
      <w:pPr>
        <w:pStyle w:val="BodyText"/>
        <w:numPr>
          <w:ilvl w:val="0"/>
          <w:numId w:val="43"/>
        </w:numPr>
        <w:tabs>
          <w:tab w:val="clear" w:pos="720"/>
          <w:tab w:val="left" w:pos="1080" w:leader="none"/>
        </w:tabs>
        <w:ind w:hanging="360" w:start="1080" w:end="0"/>
        <w:rPr/>
      </w:pPr>
      <w:r>
        <w:rPr>
          <w:b/>
        </w:rPr>
        <w:t>Elektro has challenged the employees seeking to take advantage of this claim based on their lack of membership in the union, failure to take part in hazardous activities or overtime and based on limitations.</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b/>
          <w:u w:val="single"/>
        </w:rPr>
        <w:t>Sindicato dos Electricitarios de Sao Paulo v. CESP</w:t>
      </w:r>
      <w:r>
        <w:rPr>
          <w:b/>
        </w:rPr>
        <w:tab/>
        <w:t>(Updated)</w:t>
      </w:r>
    </w:p>
    <w:p>
      <w:pPr>
        <w:pStyle w:val="BodyText"/>
        <w:tabs>
          <w:tab w:val="clear" w:pos="720"/>
          <w:tab w:val="left" w:pos="1170" w:leader="none"/>
          <w:tab w:val="left" w:pos="7740" w:leader="none"/>
          <w:tab w:val="left" w:pos="8370" w:leader="none"/>
        </w:tabs>
        <w:ind w:start="720" w:end="0"/>
        <w:rPr/>
      </w:pPr>
      <w:r>
        <w:rPr/>
        <w:t>(39</w:t>
      </w:r>
      <w:r>
        <w:rPr>
          <w:vertAlign w:val="superscript"/>
        </w:rPr>
        <w:t>th</w:t>
      </w:r>
      <w:r>
        <w:rPr/>
        <w:t xml:space="preserve"> Board of Conciliation and Judgment of the City of Sao Paulo) (Fernando Serec/Tozzini, Freire, Teixeira &amp; Silva) (best estimated to be as much as R$790,000/US$445,000 plus resulting changes to how employees’ future compensation is determined)</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b/>
        </w:rPr>
        <w:t>In December, 1997, the union filed this claim seeking calculation of additional overtime payments</w:t>
      </w:r>
      <w:r>
        <w:rPr/>
        <w:t xml:space="preserve"> </w:t>
      </w:r>
      <w:r>
        <w:rPr>
          <w:b/>
        </w:rPr>
        <w:t>based on the inclusion of the hazardous condition payment.</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On December 4, 1997, the parties agreed to stay the claim.</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t xml:space="preserve">On May 4, 2000, Elektro sought to join the action.  </w:t>
      </w:r>
      <w:r>
        <w:rPr>
          <w:b/>
        </w:rPr>
        <w:t>A discovery hearing is scheduled for March 22, 2001.</w:t>
      </w:r>
    </w:p>
    <w:p>
      <w:pPr>
        <w:pStyle w:val="BodyText"/>
        <w:numPr>
          <w:ilvl w:val="0"/>
          <w:numId w:val="45"/>
        </w:numPr>
        <w:tabs>
          <w:tab w:val="clear" w:pos="720"/>
          <w:tab w:val="left" w:pos="1080" w:leader="none"/>
          <w:tab w:val="left" w:pos="1170" w:leader="none"/>
          <w:tab w:val="left" w:pos="7740" w:leader="none"/>
          <w:tab w:val="left" w:pos="8370" w:leader="none"/>
        </w:tabs>
        <w:ind w:hanging="360" w:start="1080" w:end="0"/>
        <w:rPr/>
      </w:pPr>
      <w:r>
        <w:rPr>
          <w:b/>
        </w:rPr>
        <w:t>As noted above, the union’s position is consistent with the majority of labor courts.  Withdrawal from the claim of a number of union members has decreased the contingent liability.</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720" w:end="0"/>
        <w:rPr/>
      </w:pPr>
      <w:r>
        <w:rPr>
          <w:b/>
          <w:u w:val="single"/>
        </w:rPr>
        <w:t>Silva v. CESP</w:t>
      </w:r>
      <w:r>
        <w:rPr>
          <w:b/>
        </w:rPr>
        <w:tab/>
        <w:t>(Updated)</w:t>
      </w:r>
    </w:p>
    <w:p>
      <w:pPr>
        <w:pStyle w:val="BodyText"/>
        <w:keepNext w:val="true"/>
        <w:keepLines/>
        <w:tabs>
          <w:tab w:val="clear" w:pos="720"/>
          <w:tab w:val="left" w:pos="7740" w:leader="none"/>
        </w:tabs>
        <w:ind w:start="720" w:end="0"/>
        <w:rPr/>
      </w:pPr>
      <w:r>
        <w:rPr/>
        <w:t>(Board of Conciliation and Judgment of the City of Braganca Paulista)</w:t>
      </w:r>
    </w:p>
    <w:p>
      <w:pPr>
        <w:pStyle w:val="BodyText"/>
        <w:keepNext w:val="true"/>
        <w:keepLines/>
        <w:tabs>
          <w:tab w:val="clear" w:pos="720"/>
          <w:tab w:val="left" w:pos="7740" w:leader="none"/>
        </w:tabs>
        <w:ind w:start="720" w:end="0"/>
        <w:rPr/>
      </w:pPr>
      <w:r>
        <w:rPr/>
        <w:t xml:space="preserve">(Fernando Serec/Tozzini, Freire, Teixeira &amp; Silva) (R$75,000/US$42,000) </w:t>
      </w:r>
    </w:p>
    <w:p>
      <w:pPr>
        <w:pStyle w:val="BodyText"/>
        <w:keepNext w:val="true"/>
        <w:keepLines/>
        <w:tabs>
          <w:tab w:val="clear" w:pos="720"/>
          <w:tab w:val="left" w:pos="7740" w:leader="none"/>
        </w:tabs>
        <w:ind w:start="720" w:end="0"/>
        <w:rPr/>
      </w:pPr>
      <w:r>
        <w:rPr/>
      </w:r>
    </w:p>
    <w:p>
      <w:pPr>
        <w:pStyle w:val="BodyText"/>
        <w:keepNext w:val="true"/>
        <w:keepLines/>
        <w:numPr>
          <w:ilvl w:val="0"/>
          <w:numId w:val="21"/>
        </w:numPr>
        <w:tabs>
          <w:tab w:val="clear" w:pos="720"/>
          <w:tab w:val="left" w:pos="1080" w:leader="none"/>
          <w:tab w:val="left" w:pos="7740" w:leader="none"/>
        </w:tabs>
        <w:ind w:hanging="360" w:start="1080" w:end="0"/>
        <w:rPr>
          <w:b/>
        </w:rPr>
      </w:pPr>
      <w:r>
        <w:rPr>
          <w:b/>
        </w:rPr>
        <w:t>The claimant seeks payment of the 30% hazardous pay premium.</w:t>
      </w:r>
    </w:p>
    <w:p>
      <w:pPr>
        <w:pStyle w:val="BodyText"/>
        <w:keepNext w:val="true"/>
        <w:keepLines/>
        <w:numPr>
          <w:ilvl w:val="0"/>
          <w:numId w:val="21"/>
        </w:numPr>
        <w:tabs>
          <w:tab w:val="clear" w:pos="720"/>
          <w:tab w:val="left" w:pos="1080" w:leader="none"/>
          <w:tab w:val="left" w:pos="7740" w:leader="none"/>
        </w:tabs>
        <w:ind w:hanging="360" w:start="1080" w:end="0"/>
        <w:rPr>
          <w:b/>
        </w:rPr>
      </w:pPr>
      <w:r>
        <w:rPr>
          <w:b/>
        </w:rPr>
        <w:t>Elektro’s efforts to be added as a necessary party were not successful.</w:t>
      </w:r>
    </w:p>
    <w:p>
      <w:pPr>
        <w:pStyle w:val="BodyText"/>
        <w:numPr>
          <w:ilvl w:val="0"/>
          <w:numId w:val="35"/>
        </w:numPr>
        <w:tabs>
          <w:tab w:val="clear" w:pos="720"/>
          <w:tab w:val="left" w:pos="1080" w:leader="none"/>
          <w:tab w:val="left" w:pos="1170" w:leader="none"/>
          <w:tab w:val="left" w:pos="7740" w:leader="none"/>
          <w:tab w:val="left" w:pos="8370" w:leader="none"/>
        </w:tabs>
        <w:ind w:hanging="360" w:start="1080" w:end="0"/>
        <w:rPr>
          <w:b/>
        </w:rPr>
      </w:pPr>
      <w:r>
        <w:rPr>
          <w:b/>
        </w:rPr>
        <w:t>Discovery has been completed and it is likely but not definite he will be found to have engaged in hazardous duty.</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ind w:start="720" w:end="0"/>
        <w:rPr>
          <w:b/>
        </w:rPr>
      </w:pPr>
      <w:r>
        <w:rPr>
          <w:b/>
        </w:rPr>
      </w:r>
    </w:p>
    <w:p>
      <w:pPr>
        <w:pStyle w:val="BodyText"/>
        <w:tabs>
          <w:tab w:val="clear" w:pos="720"/>
          <w:tab w:val="left" w:pos="1080" w:leader="none"/>
          <w:tab w:val="left" w:pos="1170" w:leader="none"/>
          <w:tab w:val="left" w:pos="7740" w:leader="none"/>
          <w:tab w:val="left" w:pos="8370" w:leader="none"/>
        </w:tabs>
        <w:ind w:start="720" w:end="0"/>
        <w:rPr/>
      </w:pPr>
      <w:r>
        <w:rPr>
          <w:b/>
          <w:u w:val="single"/>
        </w:rPr>
        <w:t>Sindicato dos Trabalhadores nas Industria de</w:t>
      </w:r>
      <w:r>
        <w:rPr>
          <w:b/>
        </w:rPr>
        <w:tab/>
        <w:t>(Not Updated)</w:t>
      </w:r>
    </w:p>
    <w:p>
      <w:pPr>
        <w:pStyle w:val="BodyText"/>
        <w:tabs>
          <w:tab w:val="clear" w:pos="720"/>
          <w:tab w:val="left" w:pos="1080" w:leader="none"/>
          <w:tab w:val="left" w:pos="1170" w:leader="none"/>
          <w:tab w:val="left" w:pos="7740" w:leader="none"/>
          <w:tab w:val="left" w:pos="8370" w:leader="none"/>
        </w:tabs>
        <w:ind w:start="720" w:end="0"/>
        <w:rPr>
          <w:b/>
          <w:u w:val="single"/>
        </w:rPr>
      </w:pPr>
      <w:r>
        <w:rPr>
          <w:b/>
          <w:u w:val="single"/>
        </w:rPr>
        <w:t>Energia Electrica de Campinas v. CESP</w:t>
      </w:r>
    </w:p>
    <w:p>
      <w:pPr>
        <w:pStyle w:val="BodyText"/>
        <w:tabs>
          <w:tab w:val="clear" w:pos="720"/>
          <w:tab w:val="left" w:pos="1080" w:leader="none"/>
          <w:tab w:val="left" w:pos="1170" w:leader="none"/>
          <w:tab w:val="left" w:pos="7740" w:leader="none"/>
          <w:tab w:val="left" w:pos="8370" w:leader="none"/>
        </w:tabs>
        <w:ind w:start="720" w:end="0"/>
        <w:rPr/>
      </w:pPr>
      <w:r>
        <w:rPr/>
        <w:t>(4</w:t>
      </w:r>
      <w:r>
        <w:rPr>
          <w:vertAlign w:val="superscript"/>
        </w:rPr>
        <w:t>th</w:t>
      </w:r>
      <w:r>
        <w:rPr/>
        <w:t xml:space="preserve"> Labor Court of Campinas) (Fernando Serec/Tozzini, Freire, Teixeira &amp; Silva) (best estimated to be as much as R$5,900,000/US$3,310,000 plus resulting changes to how employees’ future compensation is determined)</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65"/>
        </w:numPr>
        <w:tabs>
          <w:tab w:val="clear" w:pos="720"/>
          <w:tab w:val="left" w:pos="1080" w:leader="none"/>
          <w:tab w:val="left" w:pos="1170" w:leader="none"/>
          <w:tab w:val="left" w:pos="7740" w:leader="none"/>
          <w:tab w:val="left" w:pos="8370" w:leader="none"/>
        </w:tabs>
        <w:ind w:hanging="360" w:start="1080" w:end="0"/>
        <w:rPr/>
      </w:pPr>
      <w:r>
        <w:rPr/>
        <w:t>On November 11, 1994, this matter was brought seeking salary readjustment as of October 1, 1994, for payments for food allowances for employees on sickness, maternity, accident leave, and other matters covered by a collective bargaining agreement.</w:t>
      </w:r>
    </w:p>
    <w:p>
      <w:pPr>
        <w:pStyle w:val="BodyText"/>
        <w:numPr>
          <w:ilvl w:val="0"/>
          <w:numId w:val="65"/>
        </w:numPr>
        <w:tabs>
          <w:tab w:val="clear" w:pos="720"/>
          <w:tab w:val="left" w:pos="1080" w:leader="none"/>
          <w:tab w:val="left" w:pos="1170" w:leader="none"/>
          <w:tab w:val="left" w:pos="7740" w:leader="none"/>
          <w:tab w:val="left" w:pos="8370" w:leader="none"/>
        </w:tabs>
        <w:ind w:hanging="360" w:start="1080" w:end="0"/>
        <w:rPr/>
      </w:pPr>
      <w:r>
        <w:rPr/>
        <w:t>On February 3, 1998, CESP submitted its defense and the judge ordered an expert accounting.</w:t>
      </w:r>
    </w:p>
    <w:p>
      <w:pPr>
        <w:pStyle w:val="BodyText"/>
        <w:numPr>
          <w:ilvl w:val="0"/>
          <w:numId w:val="65"/>
        </w:numPr>
        <w:tabs>
          <w:tab w:val="clear" w:pos="720"/>
          <w:tab w:val="left" w:pos="1080" w:leader="none"/>
          <w:tab w:val="left" w:pos="1170" w:leader="none"/>
          <w:tab w:val="left" w:pos="7740" w:leader="none"/>
          <w:tab w:val="left" w:pos="8370" w:leader="none"/>
        </w:tabs>
        <w:ind w:hanging="360" w:start="1080" w:end="0"/>
        <w:rPr/>
      </w:pPr>
      <w:r>
        <w:rPr/>
        <w:t>The expert submitted his report and both sides submitted their comments.</w:t>
      </w:r>
    </w:p>
    <w:p>
      <w:pPr>
        <w:pStyle w:val="BodyText"/>
        <w:numPr>
          <w:ilvl w:val="0"/>
          <w:numId w:val="65"/>
        </w:numPr>
        <w:tabs>
          <w:tab w:val="clear" w:pos="720"/>
          <w:tab w:val="left" w:pos="1080" w:leader="none"/>
          <w:tab w:val="left" w:pos="1170" w:leader="none"/>
          <w:tab w:val="left" w:pos="7740" w:leader="none"/>
          <w:tab w:val="left" w:pos="8370" w:leader="none"/>
        </w:tabs>
        <w:ind w:hanging="360" w:start="1080" w:end="0"/>
        <w:rPr/>
      </w:pPr>
      <w:r>
        <w:rPr/>
        <w:t>On November 12, 1999, the court ruled in favor of CESP.</w:t>
      </w:r>
    </w:p>
    <w:p>
      <w:pPr>
        <w:pStyle w:val="BodyText"/>
        <w:numPr>
          <w:ilvl w:val="0"/>
          <w:numId w:val="65"/>
        </w:numPr>
        <w:tabs>
          <w:tab w:val="clear" w:pos="720"/>
          <w:tab w:val="left" w:pos="1080" w:leader="none"/>
          <w:tab w:val="left" w:pos="1170" w:leader="none"/>
          <w:tab w:val="left" w:pos="7740" w:leader="none"/>
          <w:tab w:val="left" w:pos="8370" w:leader="none"/>
        </w:tabs>
        <w:ind w:hanging="360" w:start="1080" w:end="0"/>
        <w:rPr/>
      </w:pPr>
      <w:r>
        <w:rPr/>
        <w:t>We await the Appellate Court's decision on the claimant's appeal.</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CPMF/Elektro</w:t>
      </w:r>
      <w:r>
        <w:rPr>
          <w:b/>
        </w:rPr>
        <w:tab/>
        <w:t>(Not Updated)</w:t>
      </w:r>
    </w:p>
    <w:p>
      <w:pPr>
        <w:pStyle w:val="BodyText"/>
        <w:tabs>
          <w:tab w:val="clear" w:pos="720"/>
          <w:tab w:val="left" w:pos="1170" w:leader="none"/>
          <w:tab w:val="left" w:pos="7740" w:leader="none"/>
          <w:tab w:val="left" w:pos="8370" w:leader="none"/>
        </w:tabs>
        <w:ind w:start="720" w:end="0"/>
        <w:rPr/>
      </w:pPr>
      <w:r>
        <w:rPr/>
        <w:t xml:space="preserve">(São Paulo Federal Court) (Veirano </w:t>
      </w:r>
      <w:r>
        <w:rPr>
          <w:color w:val="000000"/>
        </w:rPr>
        <w:t>Advogados</w:t>
      </w:r>
      <w:r>
        <w:rPr/>
        <w:t>) (R$750,000/US$415,000)</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 xml:space="preserve">Enron assigned Elektro debt to direct investors EIE, ETB &amp; EPC, which requires that the Certificate of Foreign Capital Registration be amended to reflect this assignment.  Before it would issue the amended Certificate, Central Bank of Brazil required the company to enter into a "symbolic exchange transaction". Such transaction triggers a CPMF tax of approximately R$750,000/US$415,000.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rFonts w:eastAsia="Arial"/>
        </w:rPr>
        <w:t xml:space="preserve"> </w:t>
      </w:r>
      <w:r>
        <w:rPr/>
        <w:t xml:space="preserve">Enron and others are challenging the constitutionality of the CPMF tax.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 xml:space="preserve">In this case, however, rather than dispute the tax, Enron filed suit to dispute the Central Bank's demand for the "symbolic exchange transaction" which is not required under the Brazilian Civil Code.  </w:t>
      </w:r>
    </w:p>
    <w:p>
      <w:pPr>
        <w:pStyle w:val="BodyText"/>
        <w:numPr>
          <w:ilvl w:val="0"/>
          <w:numId w:val="49"/>
        </w:numPr>
        <w:tabs>
          <w:tab w:val="clear" w:pos="720"/>
          <w:tab w:val="left" w:pos="1080" w:leader="none"/>
          <w:tab w:val="left" w:pos="1170" w:leader="none"/>
          <w:tab w:val="left" w:pos="7740" w:leader="none"/>
          <w:tab w:val="left" w:pos="8370" w:leader="none"/>
        </w:tabs>
        <w:ind w:hanging="360" w:start="1080" w:end="0"/>
        <w:rPr/>
      </w:pPr>
      <w:r>
        <w:rPr/>
        <w:t>The court granted a preliminary injunction against payment of the tax but required the amount due be deposited in escrow pending final resolution of the case.</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Elektro v. Federal Treasury Department (Federal Tax Case)</w:t>
      </w:r>
      <w:r>
        <w:rPr>
          <w:b/>
        </w:rPr>
        <w:tab/>
        <w:t>(New)</w:t>
      </w:r>
    </w:p>
    <w:p>
      <w:pPr>
        <w:pStyle w:val="BodyText"/>
        <w:tabs>
          <w:tab w:val="clear" w:pos="720"/>
          <w:tab w:val="left" w:pos="1170" w:leader="none"/>
          <w:tab w:val="left" w:pos="7740" w:leader="none"/>
          <w:tab w:val="left" w:pos="8370" w:leader="none"/>
        </w:tabs>
        <w:ind w:start="720" w:end="0"/>
        <w:rPr/>
      </w:pPr>
      <w:r>
        <w:rPr/>
        <w:t>(23rd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rPr/>
      </w:pPr>
      <w:r>
        <w:rPr/>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filed this tax suit to guarantee its right to pay social contribution on revenue tax (“COFINS”) without the increase affected by new federal tax legislation.</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received favorable rulings at the lower court level and the government filed its appeal in May 2000.</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On September 13, 2000, the record of the matter was sent to the federal public prosecutor.</w:t>
      </w:r>
    </w:p>
    <w:p>
      <w:pPr>
        <w:pStyle w:val="BodyText"/>
        <w:numPr>
          <w:ilvl w:val="0"/>
          <w:numId w:val="19"/>
        </w:numPr>
        <w:tabs>
          <w:tab w:val="clear" w:pos="720"/>
          <w:tab w:val="left" w:pos="1080" w:leader="none"/>
          <w:tab w:val="left" w:pos="1170" w:leader="none"/>
          <w:tab w:val="left" w:pos="7740" w:leader="none"/>
          <w:tab w:val="left" w:pos="8370" w:leader="none"/>
        </w:tabs>
        <w:ind w:hanging="360" w:start="1080" w:end="0"/>
        <w:rPr/>
      </w:pPr>
      <w:r>
        <w:rPr/>
        <w:t>Elektro had been paying a 2% tax on revenue that increased to 3%.</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Elektro v. Federal Treasury Department (Federal Tax Case)</w:t>
      </w:r>
      <w:r>
        <w:rPr>
          <w:b/>
        </w:rPr>
        <w:tab/>
        <w:t>(New)</w:t>
      </w:r>
    </w:p>
    <w:p>
      <w:pPr>
        <w:pStyle w:val="BodyText"/>
        <w:tabs>
          <w:tab w:val="clear" w:pos="720"/>
          <w:tab w:val="left" w:pos="1170" w:leader="none"/>
          <w:tab w:val="left" w:pos="7740" w:leader="none"/>
          <w:tab w:val="left" w:pos="8370" w:leader="none"/>
        </w:tabs>
        <w:ind w:start="720" w:end="0"/>
        <w:rPr/>
      </w:pPr>
      <w:r>
        <w:rPr/>
        <w:t>(13th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rPr/>
      </w:pPr>
      <w:r>
        <w:rPr/>
      </w:r>
    </w:p>
    <w:p>
      <w:pPr>
        <w:pStyle w:val="BodyText"/>
        <w:numPr>
          <w:ilvl w:val="0"/>
          <w:numId w:val="69"/>
        </w:numPr>
        <w:tabs>
          <w:tab w:val="clear" w:pos="720"/>
          <w:tab w:val="left" w:pos="1080" w:leader="none"/>
          <w:tab w:val="left" w:pos="1170" w:leader="none"/>
          <w:tab w:val="left" w:pos="7740" w:leader="none"/>
          <w:tab w:val="left" w:pos="8370" w:leader="none"/>
        </w:tabs>
        <w:ind w:hanging="360" w:start="1080" w:end="0"/>
        <w:rPr/>
      </w:pPr>
      <w:r>
        <w:rPr/>
        <w:t>This tax suit was filed to guarantee Elektro’s right to pay contribution to the Social Integration Program without the increase imposed by the new legislation.</w:t>
      </w:r>
    </w:p>
    <w:p>
      <w:pPr>
        <w:pStyle w:val="BodyText"/>
        <w:numPr>
          <w:ilvl w:val="0"/>
          <w:numId w:val="69"/>
        </w:numPr>
        <w:tabs>
          <w:tab w:val="clear" w:pos="720"/>
          <w:tab w:val="left" w:pos="1080" w:leader="none"/>
          <w:tab w:val="left" w:pos="1170" w:leader="none"/>
          <w:tab w:val="left" w:pos="7740" w:leader="none"/>
          <w:tab w:val="left" w:pos="8370" w:leader="none"/>
        </w:tabs>
        <w:ind w:hanging="360" w:start="1080" w:end="0"/>
        <w:rPr/>
      </w:pPr>
      <w:r>
        <w:rPr/>
        <w:t>Elektro received a favorable decision in the lower court and the Federal Treasury Department appealed to the federal court of appeals.</w:t>
      </w:r>
    </w:p>
    <w:p>
      <w:pPr>
        <w:pStyle w:val="BodyText"/>
        <w:numPr>
          <w:ilvl w:val="0"/>
          <w:numId w:val="69"/>
        </w:numPr>
        <w:tabs>
          <w:tab w:val="clear" w:pos="720"/>
          <w:tab w:val="left" w:pos="1080" w:leader="none"/>
          <w:tab w:val="left" w:pos="1170" w:leader="none"/>
          <w:tab w:val="left" w:pos="7740" w:leader="none"/>
          <w:tab w:val="left" w:pos="8370" w:leader="none"/>
        </w:tabs>
        <w:ind w:hanging="360" w:start="1080" w:end="0"/>
        <w:rPr/>
      </w:pPr>
      <w:r>
        <w:rPr/>
        <w:t>On September 5, 2000, the records were sent to the Public Prosecutor.</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720" w:end="0"/>
        <w:rPr/>
      </w:pPr>
      <w:r>
        <w:rPr>
          <w:b/>
          <w:u w:val="single"/>
        </w:rPr>
        <w:t xml:space="preserve">Public Prosecutor of São Paulo v. Elektro and </w:t>
      </w:r>
      <w:r>
        <w:rPr>
          <w:b/>
        </w:rPr>
        <w:tab/>
        <w:t>(New)</w:t>
      </w:r>
    </w:p>
    <w:p>
      <w:pPr>
        <w:pStyle w:val="BodyText"/>
        <w:tabs>
          <w:tab w:val="clear" w:pos="720"/>
          <w:tab w:val="left" w:pos="1170" w:leader="none"/>
          <w:tab w:val="left" w:pos="7740" w:leader="none"/>
          <w:tab w:val="left" w:pos="8370" w:leader="none"/>
        </w:tabs>
        <w:ind w:start="72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720" w:end="0"/>
        <w:rPr/>
      </w:pPr>
      <w:r>
        <w:rPr/>
        <w:t>(State Court Fartura) (Fernando Serec/Tozzini, Freire, Teixeira &amp; Silva) (Demand for public civil action)</w:t>
      </w:r>
    </w:p>
    <w:p>
      <w:pPr>
        <w:pStyle w:val="BodyText"/>
        <w:tabs>
          <w:tab w:val="clear" w:pos="720"/>
          <w:tab w:val="left" w:pos="1170" w:leader="none"/>
          <w:tab w:val="left" w:pos="7740" w:leader="none"/>
          <w:tab w:val="left" w:pos="8370" w:leader="none"/>
        </w:tabs>
        <w:rPr/>
      </w:pPr>
      <w:r>
        <w:rPr/>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This action was filed to determine the proper calculation and to obtain restitution of alleged underpayment.</w:t>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Elektro filed its defense on July 27, 2000.</w:t>
      </w:r>
    </w:p>
    <w:p>
      <w:pPr>
        <w:pStyle w:val="BodyText"/>
        <w:numPr>
          <w:ilvl w:val="0"/>
          <w:numId w:val="5"/>
        </w:numPr>
        <w:tabs>
          <w:tab w:val="clear" w:pos="720"/>
          <w:tab w:val="left" w:pos="1080" w:leader="none"/>
          <w:tab w:val="left" w:pos="1170" w:leader="none"/>
          <w:tab w:val="left" w:pos="7740" w:leader="none"/>
          <w:tab w:val="left" w:pos="8370" w:leader="none"/>
        </w:tabs>
        <w:ind w:hanging="360" w:start="1080" w:end="0"/>
        <w:rPr/>
      </w:pPr>
      <w:r>
        <w:rPr/>
        <w:t>According to outside counsel, this case does not have a cash impact on Elektro since any increase would be directly charged to consumers.</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jc w:val="center"/>
        <w:rPr>
          <w:b/>
          <w:sz w:val="28"/>
          <w:u w:val="single"/>
        </w:rPr>
      </w:pPr>
      <w:r>
        <w:rPr>
          <w:b/>
          <w:sz w:val="28"/>
          <w:u w:val="single"/>
        </w:rPr>
        <w:t>Gas Participacoes S.A. (“Gaspart”)</w:t>
      </w:r>
    </w:p>
    <w:p>
      <w:pPr>
        <w:pStyle w:val="BodyText"/>
        <w:tabs>
          <w:tab w:val="clear" w:pos="720"/>
          <w:tab w:val="left" w:pos="1080" w:leader="none"/>
          <w:tab w:val="left" w:pos="1170" w:leader="none"/>
          <w:tab w:val="left" w:pos="7740" w:leader="none"/>
          <w:tab w:val="left" w:pos="8370" w:leader="none"/>
        </w:tabs>
        <w:jc w:val="center"/>
        <w:rPr/>
      </w:pPr>
      <w:r>
        <w:rPr/>
        <w:t>(Brazil)</w:t>
      </w:r>
    </w:p>
    <w:p>
      <w:pPr>
        <w:pStyle w:val="BodyText"/>
        <w:tabs>
          <w:tab w:val="clear" w:pos="720"/>
          <w:tab w:val="left" w:pos="1080" w:leader="none"/>
          <w:tab w:val="left" w:pos="1170" w:leader="none"/>
          <w:tab w:val="left" w:pos="7740" w:leader="none"/>
          <w:tab w:val="left" w:pos="8370" w:leader="none"/>
        </w:tabs>
        <w:rPr>
          <w:u w:val="single"/>
        </w:rPr>
      </w:pPr>
      <w:r>
        <w:rPr>
          <w:u w:val="single"/>
        </w:rPr>
      </w:r>
    </w:p>
    <w:p>
      <w:pPr>
        <w:pStyle w:val="BodyText"/>
        <w:numPr>
          <w:ilvl w:val="0"/>
          <w:numId w:val="10"/>
        </w:numPr>
        <w:rPr>
          <w:b/>
        </w:rPr>
      </w:pPr>
      <w:r>
        <w:rPr>
          <w:b/>
        </w:rPr>
        <w:t>LITIGATION/ARBITRATION</w:t>
      </w:r>
    </w:p>
    <w:p>
      <w:pPr>
        <w:pStyle w:val="BodyText"/>
        <w:rPr>
          <w:b/>
        </w:rPr>
      </w:pPr>
      <w:r>
        <w:rPr>
          <w:b/>
        </w:rPr>
      </w:r>
    </w:p>
    <w:p>
      <w:pPr>
        <w:pStyle w:val="BodyText"/>
        <w:tabs>
          <w:tab w:val="clear" w:pos="720"/>
          <w:tab w:val="left" w:pos="7740" w:leader="none"/>
        </w:tabs>
        <w:ind w:start="720" w:end="0"/>
        <w:rPr/>
      </w:pPr>
      <w:r>
        <w:rPr>
          <w:b/>
          <w:u w:val="single"/>
        </w:rPr>
        <w:t>State of Pernambucco v. Gaspart-Gas Participacoes S.A.</w:t>
      </w:r>
      <w:r>
        <w:rPr>
          <w:b/>
        </w:rPr>
        <w:tab/>
        <w:t>(Updated)</w:t>
      </w:r>
    </w:p>
    <w:p>
      <w:pPr>
        <w:pStyle w:val="BodyText"/>
        <w:tabs>
          <w:tab w:val="clear" w:pos="720"/>
          <w:tab w:val="left" w:pos="8370" w:leader="none"/>
        </w:tabs>
        <w:ind w:start="720" w:end="0"/>
        <w:rPr>
          <w:b/>
          <w:u w:val="single"/>
        </w:rPr>
      </w:pPr>
      <w:r>
        <w:rPr>
          <w:b/>
          <w:u w:val="single"/>
        </w:rPr>
        <w:t>and Companhia de Gas Copergas</w:t>
      </w:r>
    </w:p>
    <w:p>
      <w:pPr>
        <w:pStyle w:val="BodyText"/>
        <w:ind w:start="720" w:end="0"/>
        <w:rPr/>
      </w:pPr>
      <w:r>
        <w:rPr/>
        <w:t xml:space="preserve">(Supreme Court of Brazil) (Monteiro Piauylino) (Machado Meyer) (Appeal) </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30"/>
        </w:numPr>
        <w:tabs>
          <w:tab w:val="clear" w:pos="720"/>
        </w:tabs>
        <w:ind w:hanging="360" w:start="1080" w:end="0"/>
        <w:rPr/>
      </w:pPr>
      <w:r>
        <w:rPr/>
        <w:t>The attorney general of the State of Pernambuco sued to invalidate the supermajority rights of the minority shareholders set forth in the shareholders’ agreement and by-laws between Gaspart, Petrobras, and the State.</w:t>
      </w:r>
    </w:p>
    <w:p>
      <w:pPr>
        <w:pStyle w:val="BodyText"/>
        <w:numPr>
          <w:ilvl w:val="0"/>
          <w:numId w:val="30"/>
        </w:numPr>
        <w:tabs>
          <w:tab w:val="clear" w:pos="720"/>
        </w:tabs>
        <w:ind w:hanging="360" w:start="1080" w:end="0"/>
        <w:rPr/>
      </w:pPr>
      <w:r>
        <w:rPr/>
        <w:t>The defendants argued that it would be inappropriate for the court to rewrite the parties’ agreements and that such action would evidence the instability of government decisions and would generate uncertainty amongst investors.</w:t>
      </w:r>
    </w:p>
    <w:p>
      <w:pPr>
        <w:pStyle w:val="BodyText"/>
        <w:numPr>
          <w:ilvl w:val="0"/>
          <w:numId w:val="30"/>
        </w:numPr>
        <w:tabs>
          <w:tab w:val="clear" w:pos="720"/>
        </w:tabs>
        <w:ind w:hanging="360" w:start="1080" w:end="0"/>
        <w:rPr/>
      </w:pPr>
      <w:r>
        <w:rPr/>
        <w:t>The court of first instance granted an injunction in favor of the State that was upheld on appeal.</w:t>
      </w:r>
    </w:p>
    <w:p>
      <w:pPr>
        <w:pStyle w:val="BodyText"/>
        <w:numPr>
          <w:ilvl w:val="0"/>
          <w:numId w:val="30"/>
        </w:numPr>
        <w:tabs>
          <w:tab w:val="clear" w:pos="720"/>
        </w:tabs>
        <w:ind w:hanging="360" w:start="1080" w:end="0"/>
        <w:rPr>
          <w:b/>
        </w:rPr>
      </w:pPr>
      <w:r>
        <w:rPr>
          <w:b/>
        </w:rPr>
        <w:t>Gaspart is filing its appeal to the Supreme Court of Brazil on October 13, 2000.</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1080" w:leader="none"/>
          <w:tab w:val="left" w:pos="1170" w:leader="none"/>
          <w:tab w:val="left" w:pos="7740" w:leader="none"/>
          <w:tab w:val="left" w:pos="8370" w:leader="none"/>
        </w:tabs>
        <w:jc w:val="center"/>
        <w:rPr>
          <w:b/>
          <w:sz w:val="28"/>
          <w:u w:val="single"/>
        </w:rPr>
      </w:pPr>
      <w:r>
        <w:rPr>
          <w:b/>
          <w:sz w:val="28"/>
          <w:u w:val="single"/>
        </w:rPr>
        <w:t>EPE – Empressa Produtora de Energia, Ltda.</w:t>
      </w:r>
    </w:p>
    <w:p>
      <w:pPr>
        <w:pStyle w:val="BodyText"/>
        <w:keepNext w:val="true"/>
        <w:keepLines/>
        <w:tabs>
          <w:tab w:val="clear" w:pos="720"/>
          <w:tab w:val="left" w:pos="1080" w:leader="none"/>
          <w:tab w:val="left" w:pos="1170" w:leader="none"/>
          <w:tab w:val="left" w:pos="7740" w:leader="none"/>
          <w:tab w:val="left" w:pos="8370" w:leader="none"/>
        </w:tabs>
        <w:jc w:val="center"/>
        <w:rPr/>
      </w:pPr>
      <w:r>
        <w:rPr/>
        <w:t>(Brazil)</w:t>
      </w:r>
    </w:p>
    <w:p>
      <w:pPr>
        <w:pStyle w:val="BodyText"/>
        <w:keepNext w:val="true"/>
        <w:keepLines/>
        <w:tabs>
          <w:tab w:val="clear" w:pos="720"/>
          <w:tab w:val="left" w:pos="1080" w:leader="none"/>
          <w:tab w:val="left" w:pos="1170" w:leader="none"/>
          <w:tab w:val="left" w:pos="7740" w:leader="none"/>
          <w:tab w:val="left" w:pos="8370" w:leader="none"/>
        </w:tabs>
        <w:rPr>
          <w:u w:val="single"/>
        </w:rPr>
      </w:pPr>
      <w:r>
        <w:rPr>
          <w:u w:val="single"/>
        </w:rPr>
      </w:r>
    </w:p>
    <w:p>
      <w:pPr>
        <w:pStyle w:val="BodyText"/>
        <w:keepNext w:val="true"/>
        <w:keepLines/>
        <w:rPr>
          <w:b/>
        </w:rPr>
      </w:pPr>
      <w:r>
        <w:rPr>
          <w:b/>
        </w:rPr>
        <w:t>I.</w:t>
        <w:tab/>
        <w:t>LITIGATION/ARBITRATION</w:t>
      </w:r>
    </w:p>
    <w:p>
      <w:pPr>
        <w:pStyle w:val="BodyText"/>
        <w:keepNext w:val="true"/>
        <w:keepLines/>
        <w:rPr>
          <w:b/>
        </w:rPr>
      </w:pPr>
      <w:r>
        <w:rPr>
          <w:b/>
        </w:rPr>
      </w:r>
    </w:p>
    <w:p>
      <w:pPr>
        <w:pStyle w:val="Heading5"/>
        <w:keepLines/>
        <w:tabs>
          <w:tab w:val="clear" w:pos="720"/>
          <w:tab w:val="left" w:pos="7740" w:leader="none"/>
        </w:tabs>
        <w:ind w:hanging="0" w:start="720" w:end="0"/>
        <w:jc w:val="both"/>
        <w:rPr/>
      </w:pPr>
      <w:r>
        <w:rPr>
          <w:u w:val="single"/>
        </w:rPr>
        <w:t xml:space="preserve">ConsorcioEnron Energia Energia Mercosul v. </w:t>
      </w:r>
      <w:r>
        <w:rPr>
          <w:i/>
        </w:rPr>
        <w:tab/>
      </w:r>
      <w:r>
        <w:rPr/>
        <w:t>(Not Updated)</w:t>
      </w:r>
    </w:p>
    <w:p>
      <w:pPr>
        <w:pStyle w:val="Normal"/>
        <w:keepNext w:val="true"/>
        <w:keepLines/>
        <w:rPr/>
      </w:pPr>
      <w:r>
        <w:rPr>
          <w:rFonts w:cs="Arial" w:ascii="Arial" w:hAnsi="Arial"/>
          <w:b/>
          <w:sz w:val="24"/>
        </w:rPr>
        <w:tab/>
      </w:r>
      <w:r>
        <w:rPr>
          <w:rFonts w:cs="Arial" w:ascii="Arial" w:hAnsi="Arial"/>
          <w:b/>
          <w:sz w:val="24"/>
          <w:u w:val="single"/>
        </w:rPr>
        <w:t>Centrais Electicas do Sul do Brasil S.A., Eletrosul</w:t>
      </w:r>
    </w:p>
    <w:p>
      <w:pPr>
        <w:pStyle w:val="Normal"/>
        <w:keepNext w:val="true"/>
        <w:keepLines/>
        <w:rPr>
          <w:b/>
          <w:u w:val="single"/>
        </w:rPr>
      </w:pPr>
      <w:r>
        <w:rPr>
          <w:rFonts w:cs="Arial" w:ascii="Arial" w:hAnsi="Arial"/>
          <w:b/>
          <w:sz w:val="24"/>
        </w:rPr>
        <w:tab/>
      </w:r>
      <w:r>
        <w:rPr>
          <w:rFonts w:cs="Arial" w:ascii="Arial" w:hAnsi="Arial"/>
          <w:b/>
          <w:sz w:val="24"/>
          <w:u w:val="single"/>
        </w:rPr>
        <w:t>and Furnas Centrais Electricas S.A.</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pPr>
      <w:r>
        <w:rPr>
          <w:rFonts w:cs="Arial" w:ascii="Arial" w:hAnsi="Arial"/>
          <w:sz w:val="24"/>
        </w:rPr>
        <w:t>(3</w:t>
      </w:r>
      <w:r>
        <w:rPr>
          <w:rFonts w:cs="Arial" w:ascii="Arial" w:hAnsi="Arial"/>
          <w:sz w:val="24"/>
          <w:vertAlign w:val="superscript"/>
        </w:rPr>
        <w:t>rd</w:t>
      </w:r>
      <w:r>
        <w:rPr>
          <w:rFonts w:cs="Arial" w:ascii="Arial" w:hAnsi="Arial"/>
          <w:sz w:val="24"/>
        </w:rPr>
        <w:t xml:space="preserve"> Lower Civil Court, Florianopolis) (Machado Meyer)</w:t>
      </w:r>
    </w:p>
    <w:p>
      <w:pPr>
        <w:pStyle w:val="BodyText"/>
        <w:keepNext w:val="true"/>
        <w:keepLines/>
        <w:tabs>
          <w:tab w:val="clear" w:pos="720"/>
          <w:tab w:val="left" w:pos="1080" w:leader="none"/>
          <w:tab w:val="left" w:pos="1170" w:leader="none"/>
          <w:tab w:val="left" w:pos="7740" w:leader="none"/>
          <w:tab w:val="left" w:pos="8370" w:leader="none"/>
        </w:tabs>
        <w:ind w:start="720" w:end="0"/>
        <w:rPr/>
      </w:pPr>
      <w:r>
        <w:rPr/>
        <w:t>(Pericles Prade) (R$8 million/US$4.5 million)</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BodyText"/>
        <w:keepNext w:val="true"/>
        <w:keepLines/>
        <w:numPr>
          <w:ilvl w:val="0"/>
          <w:numId w:val="8"/>
        </w:numPr>
        <w:tabs>
          <w:tab w:val="clear" w:pos="720"/>
        </w:tabs>
        <w:ind w:hanging="360" w:start="1080" w:end="0"/>
        <w:rPr/>
      </w:pPr>
      <w:r>
        <w:rPr/>
        <w:t>This lawsuit was filed on March 3, 1998, to enjoin Electrobras and Furnas from calling a R$8 million bid bond we posted in connection with the sale of Electrobras’ assets.</w:t>
      </w:r>
    </w:p>
    <w:p>
      <w:pPr>
        <w:pStyle w:val="BodyText"/>
        <w:numPr>
          <w:ilvl w:val="0"/>
          <w:numId w:val="8"/>
        </w:numPr>
        <w:tabs>
          <w:tab w:val="clear" w:pos="720"/>
        </w:tabs>
        <w:ind w:hanging="360" w:start="1080" w:end="0"/>
        <w:rPr/>
      </w:pPr>
      <w:r>
        <w:rPr/>
        <w:t>On March 4, 1998, the judge issued an interlocutory decision enjoining Eletrosul/Furnas’ attempt to call the bid bond.</w:t>
      </w:r>
    </w:p>
    <w:p>
      <w:pPr>
        <w:pStyle w:val="BodyText"/>
        <w:numPr>
          <w:ilvl w:val="0"/>
          <w:numId w:val="8"/>
        </w:numPr>
        <w:tabs>
          <w:tab w:val="clear" w:pos="720"/>
        </w:tabs>
        <w:ind w:hanging="360" w:start="1080" w:end="0"/>
        <w:rPr/>
      </w:pPr>
      <w:r>
        <w:rPr/>
        <w:t>Eletrosul and Furnas appealed the interlocutory decision.</w:t>
      </w:r>
    </w:p>
    <w:p>
      <w:pPr>
        <w:pStyle w:val="BodyText"/>
        <w:numPr>
          <w:ilvl w:val="0"/>
          <w:numId w:val="8"/>
        </w:numPr>
        <w:tabs>
          <w:tab w:val="clear" w:pos="720"/>
        </w:tabs>
        <w:ind w:hanging="360" w:start="1080" w:end="0"/>
        <w:rPr/>
      </w:pPr>
      <w:r>
        <w:rPr/>
        <w:t>The Appellate Court denied both appeals.</w:t>
      </w:r>
    </w:p>
    <w:p>
      <w:pPr>
        <w:pStyle w:val="BodyText"/>
        <w:numPr>
          <w:ilvl w:val="0"/>
          <w:numId w:val="8"/>
        </w:numPr>
        <w:tabs>
          <w:tab w:val="clear" w:pos="720"/>
        </w:tabs>
        <w:ind w:hanging="360" w:start="1080" w:end="0"/>
        <w:rPr/>
      </w:pPr>
      <w:r>
        <w:rPr/>
        <w:t>On April 28, 1998, Eletrosul and Furnas filed their answers to the suit.</w:t>
      </w:r>
    </w:p>
    <w:p>
      <w:pPr>
        <w:pStyle w:val="BodyText"/>
        <w:numPr>
          <w:ilvl w:val="0"/>
          <w:numId w:val="8"/>
        </w:numPr>
        <w:tabs>
          <w:tab w:val="clear" w:pos="720"/>
          <w:tab w:val="left" w:pos="630" w:leader="none"/>
        </w:tabs>
        <w:ind w:hanging="360" w:start="1080" w:end="0"/>
        <w:rPr/>
      </w:pPr>
      <w:r>
        <w:rPr/>
        <w:t xml:space="preserve">We are awaiting the court's decision on the merits. </w:t>
      </w:r>
    </w:p>
    <w:p>
      <w:pPr>
        <w:pStyle w:val="BodyText"/>
        <w:ind w:start="720" w:end="0"/>
        <w:rPr/>
      </w:pPr>
      <w:r>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both"/>
        <w:rPr>
          <w:rFonts w:ascii="Arial" w:hAnsi="Arial" w:cs="Arial"/>
          <w:b/>
          <w:i/>
          <w:i/>
          <w:sz w:val="24"/>
        </w:rPr>
      </w:pPr>
      <w:r>
        <w:rPr>
          <w:rFonts w:cs="Arial" w:ascii="Arial" w:hAnsi="Arial"/>
          <w:b/>
          <w:sz w:val="24"/>
          <w:u w:val="single"/>
        </w:rPr>
        <w:t>CPMF Lawsuit</w:t>
      </w:r>
      <w:r>
        <w:rPr>
          <w:rFonts w:cs="Arial" w:ascii="Arial" w:hAnsi="Arial"/>
          <w:b/>
          <w:i/>
          <w:sz w:val="24"/>
        </w:rPr>
        <w:tab/>
      </w:r>
      <w:r>
        <w:rPr>
          <w:rFonts w:cs="Arial" w:ascii="Arial" w:hAnsi="Arial"/>
          <w:b/>
          <w:sz w:val="24"/>
        </w:rPr>
        <w:t>(Updated)</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pPr>
      <w:r>
        <w:rPr>
          <w:rFonts w:cs="Arial" w:ascii="Arial" w:hAnsi="Arial"/>
          <w:sz w:val="24"/>
        </w:rPr>
        <w:t>(Federal Courts, São Paulo and Rio de Janiero) (</w:t>
      </w:r>
      <w:r>
        <w:rPr>
          <w:rFonts w:cs="Arial" w:ascii="Arial" w:hAnsi="Arial"/>
          <w:color w:val="000000"/>
          <w:sz w:val="24"/>
        </w:rPr>
        <w:t>Veirano Advogados)</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color w:val="000000"/>
          <w:sz w:val="24"/>
        </w:rPr>
      </w:pPr>
      <w:r>
        <w:rPr>
          <w:rFonts w:cs="Arial" w:ascii="Arial" w:hAnsi="Arial"/>
          <w:color w:val="000000"/>
          <w:sz w:val="24"/>
        </w:rPr>
      </w:r>
    </w:p>
    <w:p>
      <w:pPr>
        <w:pStyle w:val="Normal"/>
        <w:keepNext w:val="true"/>
        <w:keepLines/>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Enron sought a preliminary injunction against the CPMF tax of .38%</w:t>
      </w:r>
      <w:r>
        <w:rPr>
          <w:rFonts w:cs="Arial" w:ascii="Arial" w:hAnsi="Arial"/>
          <w:b/>
          <w:color w:val="000000"/>
          <w:sz w:val="24"/>
        </w:rPr>
        <w:t xml:space="preserve"> </w:t>
      </w:r>
      <w:r>
        <w:rPr>
          <w:rFonts w:cs="Arial" w:ascii="Arial" w:hAnsi="Arial"/>
          <w:color w:val="000000"/>
          <w:sz w:val="24"/>
        </w:rPr>
        <w:t>levied on financial transactions such as withdrawals, checks and wire transfers.</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Enron’s suit alleges, among other things, that this tax is unconstitutional, both because of the procedure by which it was passed and because it violates the constitutional right to confidentiality of banking information.</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In August 1999, the courts in S</w:t>
      </w:r>
      <w:r>
        <w:rPr>
          <w:rFonts w:cs="Arial" w:ascii="Arial" w:hAnsi="Arial"/>
          <w:sz w:val="24"/>
        </w:rPr>
        <w:t>ã</w:t>
      </w:r>
      <w:r>
        <w:rPr>
          <w:rFonts w:cs="Arial" w:ascii="Arial" w:hAnsi="Arial"/>
          <w:color w:val="000000"/>
          <w:sz w:val="24"/>
        </w:rPr>
        <w:t>o Paulo and Rio de Janiero denied Enron’s requests for a preliminary injunction.</w:t>
      </w:r>
    </w:p>
    <w:p>
      <w:pPr>
        <w:pStyle w:val="Normal"/>
        <w:numPr>
          <w:ilvl w:val="0"/>
          <w:numId w:val="12"/>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Enron appealed both decisions.</w:t>
      </w:r>
    </w:p>
    <w:p>
      <w:pPr>
        <w:pStyle w:val="Normal"/>
        <w:numPr>
          <w:ilvl w:val="0"/>
          <w:numId w:val="31"/>
        </w:numPr>
        <w:tabs>
          <w:tab w:val="clear" w:pos="720"/>
          <w:tab w:val="left" w:pos="1080" w:leader="none"/>
        </w:tabs>
        <w:ind w:hanging="360" w:start="1080" w:end="0"/>
        <w:rPr>
          <w:rFonts w:ascii="Arial" w:hAnsi="Arial" w:cs="Arial"/>
          <w:b/>
          <w:sz w:val="24"/>
        </w:rPr>
      </w:pPr>
      <w:r>
        <w:rPr>
          <w:rFonts w:cs="Arial" w:ascii="Arial" w:hAnsi="Arial"/>
          <w:color w:val="000000"/>
          <w:sz w:val="24"/>
        </w:rPr>
        <w:t>The president of the appeals court in S</w:t>
      </w:r>
      <w:r>
        <w:rPr>
          <w:rFonts w:cs="Arial" w:ascii="Arial" w:hAnsi="Arial"/>
          <w:sz w:val="24"/>
        </w:rPr>
        <w:t xml:space="preserve">ão Paulo </w:t>
      </w:r>
      <w:r>
        <w:rPr>
          <w:rFonts w:cs="Arial" w:ascii="Arial" w:hAnsi="Arial"/>
          <w:color w:val="000000"/>
          <w:sz w:val="24"/>
        </w:rPr>
        <w:t>reversed the decision of the lower court on October 5, 1999 and granted Enron’s request for a preliminary injunction relieving the Enron entities in the province of S</w:t>
      </w:r>
      <w:r>
        <w:rPr>
          <w:rFonts w:cs="Arial" w:ascii="Arial" w:hAnsi="Arial"/>
          <w:sz w:val="24"/>
        </w:rPr>
        <w:t>ã</w:t>
      </w:r>
      <w:r>
        <w:rPr>
          <w:rFonts w:cs="Arial" w:ascii="Arial" w:hAnsi="Arial"/>
          <w:color w:val="000000"/>
          <w:sz w:val="24"/>
        </w:rPr>
        <w:t xml:space="preserve">o Paulo from paying the tax.  </w:t>
      </w:r>
      <w:r>
        <w:rPr>
          <w:rFonts w:cs="Arial" w:ascii="Arial" w:hAnsi="Arial"/>
          <w:b/>
          <w:color w:val="000000"/>
          <w:sz w:val="24"/>
        </w:rPr>
        <w:t>On October 3, 2000 the court denied the interlocutory appeal for injunction against payment in Rio de Janeiro.</w:t>
      </w:r>
    </w:p>
    <w:p>
      <w:pPr>
        <w:pStyle w:val="Normal"/>
        <w:numPr>
          <w:ilvl w:val="0"/>
          <w:numId w:val="31"/>
        </w:numPr>
        <w:tabs>
          <w:tab w:val="clear" w:pos="720"/>
          <w:tab w:val="left" w:pos="1080" w:leader="none"/>
        </w:tabs>
        <w:ind w:hanging="360" w:start="1080" w:end="0"/>
        <w:rPr>
          <w:rFonts w:ascii="Arial" w:hAnsi="Arial" w:cs="Arial"/>
          <w:sz w:val="24"/>
        </w:rPr>
      </w:pPr>
      <w:r>
        <w:rPr>
          <w:rFonts w:cs="Arial" w:ascii="Arial" w:hAnsi="Arial"/>
          <w:color w:val="000000"/>
          <w:sz w:val="24"/>
        </w:rPr>
        <w:t>The taxes have not been paid pending the outcome of the litigation.  The liability accrues at approximately R$250,000/month for Elektro alone and in approximately the same amount each month for all of the other Enron companies combined.  Elektro has booked R$1 million for a “contingent liability.”</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keepNext w:val="true"/>
        <w:keepLines/>
        <w:tabs>
          <w:tab w:val="clear" w:pos="720"/>
          <w:tab w:val="left" w:pos="7740" w:leader="none"/>
        </w:tabs>
        <w:ind w:start="720" w:end="0"/>
        <w:rPr/>
      </w:pPr>
      <w:r>
        <w:rPr>
          <w:rFonts w:cs="Arial" w:ascii="Arial" w:hAnsi="Arial"/>
          <w:b/>
          <w:color w:val="000000"/>
          <w:sz w:val="24"/>
          <w:u w:val="single"/>
        </w:rPr>
        <w:t>Egmond Almeida v. EPE</w:t>
      </w:r>
      <w:r>
        <w:rPr>
          <w:rFonts w:cs="Arial" w:ascii="Arial" w:hAnsi="Arial"/>
          <w:b/>
          <w:color w:val="000000"/>
          <w:sz w:val="24"/>
        </w:rPr>
        <w:tab/>
        <w:t>(Not Updated)</w:t>
      </w:r>
    </w:p>
    <w:p>
      <w:pPr>
        <w:pStyle w:val="BodyText"/>
        <w:keepNext w:val="true"/>
        <w:keepLines/>
        <w:tabs>
          <w:tab w:val="clear" w:pos="720"/>
          <w:tab w:val="left" w:pos="1170" w:leader="none"/>
          <w:tab w:val="left" w:pos="7740" w:leader="none"/>
          <w:tab w:val="left" w:pos="8370" w:leader="none"/>
        </w:tabs>
        <w:ind w:start="720" w:end="0"/>
        <w:rPr/>
      </w:pPr>
      <w:r>
        <w:rPr/>
        <w:t xml:space="preserve">(Labor Court of Cuiaba) (Fernando Serec/Tozzini, Freire, Teixeira &amp; Silva) (R$250,000/US$139,978) (Enron’s Interest: 52%) </w:t>
      </w:r>
    </w:p>
    <w:p>
      <w:pPr>
        <w:pStyle w:val="Normal"/>
        <w:keepNext w:val="true"/>
        <w:keepLines/>
        <w:tabs>
          <w:tab w:val="clear" w:pos="720"/>
          <w:tab w:val="left" w:pos="7740" w:leader="none"/>
        </w:tabs>
        <w:ind w:start="720" w:end="0"/>
        <w:rPr>
          <w:rFonts w:ascii="Arial" w:hAnsi="Arial" w:cs="Arial"/>
          <w:color w:val="000000"/>
          <w:sz w:val="24"/>
        </w:rPr>
      </w:pPr>
      <w:r>
        <w:rPr>
          <w:rFonts w:cs="Arial" w:ascii="Arial" w:hAnsi="Arial"/>
          <w:color w:val="000000"/>
          <w:sz w:val="24"/>
        </w:rPr>
      </w:r>
    </w:p>
    <w:p>
      <w:pPr>
        <w:pStyle w:val="Normal"/>
        <w:keepNext w:val="true"/>
        <w:keepLines/>
        <w:numPr>
          <w:ilvl w:val="0"/>
          <w:numId w:val="11"/>
        </w:numPr>
        <w:tabs>
          <w:tab w:val="clear" w:pos="720"/>
          <w:tab w:val="left" w:pos="1080" w:leader="none"/>
          <w:tab w:val="left" w:pos="7740" w:leader="none"/>
        </w:tabs>
        <w:ind w:hanging="360" w:start="1080" w:end="0"/>
        <w:rPr>
          <w:rFonts w:ascii="Arial" w:hAnsi="Arial" w:cs="Arial"/>
          <w:color w:val="000000"/>
          <w:sz w:val="24"/>
        </w:rPr>
      </w:pPr>
      <w:r>
        <w:rPr>
          <w:rFonts w:cs="Arial" w:ascii="Arial" w:hAnsi="Arial"/>
          <w:color w:val="000000"/>
          <w:sz w:val="24"/>
        </w:rPr>
        <w:t>This suit was filed on January 24, 2000, for wrongful termination.</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color w:val="000000"/>
          <w:sz w:val="24"/>
        </w:rPr>
        <w:t>If plaintiff prevails, he could be awarded up to R$136,000 for two years salary, notice, vacations, attorney's fees, court costs, and danger pay (30% of his salary).  In addition he could be awarded "danos morais" (moral damage), which in Brazilian courts does not generally exceed 100 minimum salaries (R$136,000).</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August 18, 2000, the court ruled in favor of the claimant after having heard the witnesses' testimony on July 7, 2000.  EPE has filed a motion for clarification.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Gasocidente do Mato Grosso Ltda. (Gas Mat)</w:t>
      </w:r>
    </w:p>
    <w:p>
      <w:pPr>
        <w:pStyle w:val="Heading4"/>
        <w:keepNext w:val="false"/>
        <w:ind w:hanging="0" w:start="0"/>
        <w:jc w:val="center"/>
        <w:rPr>
          <w:u w:val="none"/>
        </w:rPr>
      </w:pPr>
      <w:r>
        <w:rPr>
          <w:u w:val="none"/>
        </w:rPr>
        <w:t>(Brazil)</w:t>
      </w:r>
    </w:p>
    <w:p>
      <w:pPr>
        <w:pStyle w:val="Normal"/>
        <w:rPr>
          <w:rFonts w:ascii="Arial" w:hAnsi="Arial" w:cs="Arial"/>
          <w:sz w:val="24"/>
          <w:u w:val="none"/>
        </w:rPr>
      </w:pPr>
      <w:r>
        <w:rPr>
          <w:rFonts w:cs="Arial" w:ascii="Arial" w:hAnsi="Arial"/>
          <w:sz w:val="24"/>
          <w:u w:val="none"/>
        </w:rPr>
      </w:r>
    </w:p>
    <w:p>
      <w:pPr>
        <w:pStyle w:val="Heading5"/>
        <w:numPr>
          <w:ilvl w:val="0"/>
          <w:numId w:val="54"/>
        </w:numPr>
        <w:rPr/>
      </w:pPr>
      <w:r>
        <w:rPr/>
        <w:t>LITIGATION/ARBITRATION</w:t>
      </w:r>
    </w:p>
    <w:p>
      <w:pPr>
        <w:pStyle w:val="Normal"/>
        <w:rPr>
          <w:rFonts w:ascii="Arial" w:hAnsi="Arial" w:cs="Arial"/>
          <w:b/>
          <w:sz w:val="24"/>
        </w:rPr>
      </w:pPr>
      <w:r>
        <w:rPr>
          <w:rFonts w:cs="Arial" w:ascii="Arial" w:hAnsi="Arial"/>
          <w:b/>
          <w:sz w:val="24"/>
        </w:rPr>
      </w:r>
    </w:p>
    <w:p>
      <w:pPr>
        <w:pStyle w:val="Normal"/>
        <w:ind w:start="720" w:end="0"/>
        <w:rPr>
          <w:rFonts w:ascii="Arial" w:hAnsi="Arial" w:cs="Arial"/>
          <w:sz w:val="24"/>
        </w:rPr>
      </w:pPr>
      <w:r>
        <w:rPr>
          <w:rFonts w:cs="Arial" w:ascii="Arial" w:hAnsi="Arial"/>
          <w:sz w:val="24"/>
        </w:rPr>
        <w:t>None</w:t>
      </w:r>
    </w:p>
    <w:p>
      <w:pPr>
        <w:pStyle w:val="Normal"/>
        <w:rPr>
          <w:rFonts w:ascii="Arial" w:hAnsi="Arial" w:cs="Arial"/>
          <w:sz w:val="24"/>
        </w:rPr>
      </w:pPr>
      <w:r>
        <w:rPr>
          <w:rFonts w:cs="Arial" w:ascii="Arial" w:hAnsi="Arial"/>
          <w:sz w:val="24"/>
        </w:rPr>
      </w:r>
    </w:p>
    <w:p>
      <w:pPr>
        <w:pStyle w:val="Heading5"/>
        <w:keepLines/>
        <w:numPr>
          <w:ilvl w:val="0"/>
          <w:numId w:val="54"/>
        </w:numPr>
        <w:rPr/>
      </w:pPr>
      <w:r>
        <w:rPr/>
        <w:t>CLAIMS/DISPUTES</w:t>
      </w:r>
    </w:p>
    <w:p>
      <w:pPr>
        <w:pStyle w:val="Normal"/>
        <w:keepNext w:val="true"/>
        <w:keepLines/>
        <w:rPr>
          <w:rFonts w:ascii="Arial" w:hAnsi="Arial" w:cs="Arial"/>
          <w:b/>
          <w:sz w:val="24"/>
        </w:rPr>
      </w:pPr>
      <w:r>
        <w:rPr>
          <w:rFonts w:cs="Arial" w:ascii="Arial" w:hAnsi="Arial"/>
          <w:b/>
          <w:sz w:val="24"/>
        </w:rPr>
      </w:r>
    </w:p>
    <w:p>
      <w:pPr>
        <w:pStyle w:val="BodyText2"/>
        <w:tabs>
          <w:tab w:val="clear" w:pos="7920"/>
          <w:tab w:val="clear" w:pos="8370"/>
          <w:tab w:val="left" w:pos="1080" w:leader="none"/>
          <w:tab w:val="left" w:pos="7740" w:leader="none"/>
        </w:tabs>
        <w:ind w:start="720" w:end="0"/>
        <w:rPr/>
      </w:pPr>
      <w:r>
        <w:rPr/>
        <w:t>Ridges Region Caceres:  Environmental</w:t>
        <w:tab/>
        <w:t xml:space="preserve">(Not Updated) </w:t>
      </w:r>
    </w:p>
    <w:p>
      <w:pPr>
        <w:pStyle w:val="BodyText2"/>
        <w:ind w:start="720" w:end="0"/>
        <w:rPr>
          <w:b w:val="false"/>
          <w:u w:val="single"/>
        </w:rPr>
      </w:pPr>
      <w:r>
        <w:rPr/>
        <w:t>Investigation of the Boliva to Mato Grosso Pipeline</w:t>
      </w:r>
    </w:p>
    <w:p>
      <w:pPr>
        <w:pStyle w:val="BodyText2"/>
        <w:ind w:start="720" w:end="0"/>
        <w:rPr>
          <w:b w:val="false"/>
        </w:rPr>
      </w:pPr>
      <w:r>
        <w:rPr>
          <w:b w:val="false"/>
        </w:rPr>
        <w:t>(Administrative procedure) (Enron's Interest: 50%)</w:t>
      </w:r>
    </w:p>
    <w:p>
      <w:pPr>
        <w:pStyle w:val="BodyText2"/>
        <w:ind w:start="720" w:end="0"/>
        <w:rPr>
          <w:b w:val="false"/>
        </w:rPr>
      </w:pPr>
      <w:r>
        <w:rPr>
          <w:b w:val="false"/>
        </w:rPr>
      </w:r>
    </w:p>
    <w:p>
      <w:pPr>
        <w:pStyle w:val="BodyText2"/>
        <w:numPr>
          <w:ilvl w:val="0"/>
          <w:numId w:val="72"/>
        </w:numPr>
        <w:ind w:hanging="360" w:start="1080" w:end="0"/>
        <w:rPr>
          <w:b w:val="false"/>
        </w:rPr>
      </w:pPr>
      <w:r>
        <w:rPr>
          <w:b w:val="false"/>
        </w:rPr>
        <w:t xml:space="preserve">On February 21, 2000, the Attorney General of Mato Grosso conducted an environmental investigation of the Boliva to Mato Grosso pipeline being constructed through the mountainous region of Caceres.  The region is environmentally sensitive containing protected caves, sinkholes, rock, flora, and fauna. </w:t>
      </w:r>
    </w:p>
    <w:p>
      <w:pPr>
        <w:pStyle w:val="BodyText2"/>
        <w:keepNext w:val="false"/>
        <w:keepLines w:val="false"/>
        <w:numPr>
          <w:ilvl w:val="0"/>
          <w:numId w:val="67"/>
        </w:numPr>
        <w:ind w:hanging="360" w:start="1080" w:end="0"/>
        <w:rPr>
          <w:b w:val="false"/>
        </w:rPr>
      </w:pPr>
      <w:r>
        <w:rPr>
          <w:b w:val="false"/>
        </w:rPr>
        <w:t>Although construction was temporarily suspended, IBAMA, the national environmental agency issued a new construction license to Gas Mat to reroute the pipeline and construction was reinstated.</w:t>
      </w:r>
    </w:p>
    <w:p>
      <w:pPr>
        <w:pStyle w:val="BodyText2"/>
        <w:keepNext w:val="false"/>
        <w:keepLines w:val="false"/>
        <w:numPr>
          <w:ilvl w:val="0"/>
          <w:numId w:val="67"/>
        </w:numPr>
        <w:ind w:hanging="360" w:start="1080" w:end="0"/>
        <w:rPr>
          <w:b w:val="false"/>
        </w:rPr>
      </w:pPr>
      <w:r>
        <w:rPr>
          <w:b w:val="false"/>
        </w:rPr>
        <w:t xml:space="preserve">Gas Mat is negotiating with the Attorney General regarding compensatory measures it will adopt in light of the impact caused in this sensitive region.  According to Dames and Moore, the damaged area has completely recovered.  Nevertheless, there is still potential that Gas Mat may be issued a violation notice.  A state-appointed expert is monitoring the construction.  </w:t>
      </w:r>
    </w:p>
    <w:p>
      <w:pPr>
        <w:pStyle w:val="BodyText2"/>
        <w:keepNext w:val="false"/>
        <w:keepLines w:val="false"/>
        <w:ind w:start="360" w:end="0"/>
        <w:rPr>
          <w:b w:val="false"/>
        </w:rPr>
      </w:pPr>
      <w:r>
        <w:rPr>
          <w:b w:val="false"/>
        </w:rPr>
      </w:r>
    </w:p>
    <w:p>
      <w:pPr>
        <w:pStyle w:val="Header"/>
        <w:tabs>
          <w:tab w:val="clear" w:pos="4320"/>
          <w:tab w:val="clear" w:pos="8640"/>
        </w:tabs>
        <w:spacing w:lineRule="atLeast" w:line="240"/>
        <w:ind w:start="720" w:end="0"/>
        <w:rPr>
          <w:rFonts w:ascii="Arial" w:hAnsi="Arial" w:cs="Arial"/>
          <w:b/>
        </w:rPr>
      </w:pPr>
      <w:r>
        <w:rPr>
          <w:rFonts w:cs="Arial" w:ascii="Arial" w:hAnsi="Arial"/>
          <w:b/>
        </w:rPr>
      </w:r>
    </w:p>
    <w:p>
      <w:pPr>
        <w:pStyle w:val="Heading2"/>
        <w:keepLines/>
        <w:tabs>
          <w:tab w:val="clear" w:pos="720"/>
          <w:tab w:val="left" w:pos="7740" w:leader="none"/>
        </w:tabs>
        <w:spacing w:lineRule="atLeast" w:line="240"/>
        <w:ind w:hanging="0" w:start="720" w:end="0"/>
        <w:rPr>
          <w:b/>
          <w:u w:val="none"/>
        </w:rPr>
      </w:pPr>
      <w:r>
        <w:rPr>
          <w:b/>
          <w:u w:val="none"/>
        </w:rPr>
        <w:t>Irregular Deforestation (Cuiaba)</w:t>
        <w:tab/>
        <w:t>(Not Updated)</w:t>
      </w:r>
    </w:p>
    <w:p>
      <w:pPr>
        <w:pStyle w:val="Normal"/>
        <w:keepNext w:val="true"/>
        <w:keepLines/>
        <w:ind w:start="720" w:end="0"/>
        <w:jc w:val="both"/>
        <w:rPr/>
      </w:pPr>
      <w:r>
        <w:rPr>
          <w:rFonts w:cs="Arial" w:ascii="Arial" w:hAnsi="Arial"/>
          <w:color w:val="000000"/>
          <w:sz w:val="24"/>
        </w:rPr>
        <w:t>(Adriana Mathias Baptista/</w:t>
      </w:r>
      <w:r>
        <w:rPr>
          <w:rFonts w:cs="Arial" w:ascii="Arial" w:hAnsi="Arial"/>
          <w:sz w:val="24"/>
        </w:rPr>
        <w:t>Tozzini, Freire, Teixeira &amp; Silva) (Enron’s Interest: 50%)</w:t>
      </w:r>
    </w:p>
    <w:p>
      <w:pPr>
        <w:pStyle w:val="Header"/>
        <w:keepNext w:val="true"/>
        <w:keepLines/>
        <w:tabs>
          <w:tab w:val="clear" w:pos="4320"/>
          <w:tab w:val="clear" w:pos="8640"/>
        </w:tabs>
        <w:ind w:start="720" w:end="0"/>
        <w:rPr>
          <w:rFonts w:ascii="Arial" w:hAnsi="Arial" w:cs="Arial"/>
          <w:sz w:val="24"/>
        </w:rPr>
      </w:pPr>
      <w:r>
        <w:rPr>
          <w:rFonts w:cs="Arial" w:ascii="Arial" w:hAnsi="Arial"/>
          <w:sz w:val="24"/>
        </w:rPr>
      </w:r>
    </w:p>
    <w:p>
      <w:pPr>
        <w:pStyle w:val="BodyTextIndent"/>
        <w:keepNext w:val="true"/>
        <w:keepLines/>
        <w:numPr>
          <w:ilvl w:val="0"/>
          <w:numId w:val="28"/>
        </w:numPr>
        <w:tabs>
          <w:tab w:val="clear" w:pos="720"/>
          <w:tab w:val="left" w:pos="1080" w:leader="none"/>
        </w:tabs>
        <w:ind w:hanging="360" w:start="1080" w:end="0"/>
        <w:rPr>
          <w:b w:val="false"/>
        </w:rPr>
      </w:pPr>
      <w:r>
        <w:rPr>
          <w:b w:val="false"/>
        </w:rPr>
        <w:t>Construction and irregular deforestation occurred along certain areas of the pipeline route, including in certain preserved areas where IBAMA specifically instructed not to deforest. The penalties are imprisonment and fines as per law.  Historically, only fines have been applied.  To mitigate, the company is presenting a reforestation plan to IBAMA for approval.  The amounts of potential or alleged damages are unknown.  There are two areas irregularly deforested, including along a waterway.  One is on the pipeline and another is on one of the transmission lines of the aqueduct.  There has been no court action.</w:t>
      </w:r>
    </w:p>
    <w:p>
      <w:pPr>
        <w:pStyle w:val="BodyTextIndent"/>
        <w:numPr>
          <w:ilvl w:val="0"/>
          <w:numId w:val="28"/>
        </w:numPr>
        <w:tabs>
          <w:tab w:val="clear" w:pos="720"/>
          <w:tab w:val="left" w:pos="1080" w:leader="none"/>
        </w:tabs>
        <w:ind w:hanging="360" w:start="1080" w:end="0"/>
        <w:rPr>
          <w:b w:val="false"/>
        </w:rPr>
      </w:pPr>
      <w:r>
        <w:rPr>
          <w:b w:val="false"/>
        </w:rPr>
        <w:t xml:space="preserve">To date, approximately four areas have been deforested without deforestation authorization.  IBAMA is aware of the situation and has only requested that the affected areas be reforested.  Traditionally, recovery of an affected area has been accepted by IBAMA.  Hence, local counsel opines that the risk of the company being held liable for payment of fines, indemnity, or criminal sanctions as a result of the above-mentioned deforestation is remote.  </w:t>
      </w:r>
    </w:p>
    <w:p>
      <w:pPr>
        <w:pStyle w:val="BodyText2"/>
        <w:rPr>
          <w:b w:val="false"/>
        </w:rPr>
      </w:pPr>
      <w:r>
        <w:rPr>
          <w:b w:val="false"/>
        </w:rPr>
      </w:r>
    </w:p>
    <w:p>
      <w:pPr>
        <w:pStyle w:val="Normal"/>
        <w:tabs>
          <w:tab w:val="clear" w:pos="720"/>
          <w:tab w:val="left" w:pos="1080" w:leader="none"/>
          <w:tab w:val="left" w:pos="1170" w:leader="none"/>
          <w:tab w:val="left" w:pos="7740" w:leader="none"/>
          <w:tab w:val="left" w:pos="8370" w:leader="none"/>
        </w:tabs>
        <w:jc w:val="both"/>
        <w:rPr>
          <w:rFonts w:ascii="Arial" w:hAnsi="Arial" w:cs="Arial"/>
          <w:b/>
          <w:sz w:val="24"/>
        </w:rPr>
      </w:pPr>
      <w:r>
        <w:rPr>
          <w:rFonts w:cs="Arial" w:ascii="Arial" w:hAnsi="Arial"/>
          <w:b/>
          <w:sz w:val="24"/>
        </w:rPr>
      </w:r>
    </w:p>
    <w:p>
      <w:pPr>
        <w:pStyle w:val="BodyText"/>
        <w:keepNext w:val="true"/>
        <w:keepLines/>
        <w:tabs>
          <w:tab w:val="clear" w:pos="720"/>
          <w:tab w:val="left" w:pos="1080" w:leader="none"/>
          <w:tab w:val="left" w:pos="1170" w:leader="none"/>
          <w:tab w:val="left" w:pos="7740" w:leader="none"/>
          <w:tab w:val="left" w:pos="8370" w:leader="none"/>
        </w:tabs>
        <w:jc w:val="center"/>
        <w:rPr>
          <w:b/>
          <w:sz w:val="28"/>
          <w:u w:val="single"/>
        </w:rPr>
      </w:pPr>
      <w:r>
        <w:rPr>
          <w:b/>
          <w:sz w:val="28"/>
          <w:u w:val="single"/>
        </w:rPr>
        <w:t>Companhia Estadual de Gas do Rio de Janeiro - CEG</w:t>
      </w:r>
    </w:p>
    <w:p>
      <w:pPr>
        <w:pStyle w:val="BodyText"/>
        <w:keepNext w:val="true"/>
        <w:keepLines/>
        <w:tabs>
          <w:tab w:val="clear" w:pos="720"/>
          <w:tab w:val="left" w:pos="1080" w:leader="none"/>
          <w:tab w:val="left" w:pos="1170" w:leader="none"/>
          <w:tab w:val="left" w:pos="7740" w:leader="none"/>
          <w:tab w:val="left" w:pos="8370" w:leader="none"/>
        </w:tabs>
        <w:jc w:val="center"/>
        <w:rPr/>
      </w:pPr>
      <w:r>
        <w:rPr/>
        <w:t>(Brazil)</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BodyText"/>
        <w:keepNext w:val="true"/>
        <w:keepLines/>
        <w:rPr>
          <w:b/>
        </w:rPr>
      </w:pPr>
      <w:r>
        <w:rPr>
          <w:b/>
        </w:rPr>
        <w:t>I.</w:t>
        <w:tab/>
        <w:t>LITIGATION/ARBITRATION</w:t>
      </w:r>
    </w:p>
    <w:p>
      <w:pPr>
        <w:pStyle w:val="Normal"/>
        <w:keepNext w:val="true"/>
        <w:keepLines/>
        <w:tabs>
          <w:tab w:val="clear" w:pos="720"/>
          <w:tab w:val="left" w:pos="1080" w:leader="none"/>
          <w:tab w:val="left" w:pos="1170" w:leader="none"/>
          <w:tab w:val="left" w:pos="7740" w:leader="none"/>
          <w:tab w:val="left" w:pos="8370" w:leader="none"/>
        </w:tabs>
        <w:jc w:val="both"/>
        <w:rPr>
          <w:rFonts w:ascii="Arial" w:hAnsi="Arial" w:cs="Arial"/>
          <w:b/>
          <w:sz w:val="24"/>
        </w:rPr>
      </w:pPr>
      <w:r>
        <w:rPr>
          <w:rFonts w:cs="Arial" w:ascii="Arial" w:hAnsi="Arial"/>
          <w:b/>
          <w:sz w:val="24"/>
        </w:rPr>
      </w:r>
    </w:p>
    <w:p>
      <w:pPr>
        <w:pStyle w:val="Heading9"/>
        <w:keepLines/>
        <w:tabs>
          <w:tab w:val="left" w:pos="720" w:leader="none"/>
          <w:tab w:val="left" w:pos="1080" w:leader="none"/>
          <w:tab w:val="left" w:pos="1170" w:leader="none"/>
          <w:tab w:val="left" w:pos="7740" w:leader="none"/>
          <w:tab w:val="left" w:pos="8370" w:leader="none"/>
        </w:tabs>
        <w:ind w:hanging="0" w:start="0"/>
        <w:rPr/>
      </w:pPr>
      <w:r>
        <w:rPr/>
        <w:tab/>
        <w:t>None</w:t>
      </w:r>
    </w:p>
    <w:p>
      <w:pPr>
        <w:pStyle w:val="Normal"/>
        <w:tabs>
          <w:tab w:val="left" w:pos="720" w:leader="none"/>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Heading6"/>
        <w:keepNext w:val="false"/>
        <w:ind w:hanging="0" w:start="0"/>
        <w:rPr/>
      </w:pPr>
      <w:r>
        <w:rPr/>
        <w:t>II.</w:t>
        <w:tab/>
        <w:t>CLAIMS/DISPUTES</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7740" w:leader="none"/>
        </w:tabs>
        <w:ind w:start="720" w:end="0"/>
        <w:jc w:val="both"/>
        <w:rPr>
          <w:rFonts w:ascii="Arial" w:hAnsi="Arial" w:cs="Arial"/>
          <w:b/>
          <w:color w:val="000000"/>
          <w:sz w:val="24"/>
        </w:rPr>
      </w:pPr>
      <w:r>
        <w:rPr>
          <w:rFonts w:cs="Arial" w:ascii="Arial" w:hAnsi="Arial"/>
          <w:b/>
          <w:color w:val="000000"/>
          <w:sz w:val="24"/>
        </w:rPr>
        <w:t xml:space="preserve">Conselho Administrativo de Defesa Econômia </w:t>
      </w:r>
      <w:r>
        <w:rPr>
          <w:rFonts w:cs="Arial" w:ascii="Arial" w:hAnsi="Arial"/>
          <w:b/>
          <w:sz w:val="24"/>
        </w:rPr>
        <w:tab/>
        <w:t>(Not Updated)</w:t>
      </w:r>
    </w:p>
    <w:p>
      <w:pPr>
        <w:pStyle w:val="Normal"/>
        <w:tabs>
          <w:tab w:val="clear" w:pos="720"/>
          <w:tab w:val="left" w:pos="7740" w:leader="none"/>
        </w:tabs>
        <w:ind w:start="720" w:end="0"/>
        <w:jc w:val="both"/>
        <w:rPr>
          <w:rFonts w:ascii="Arial" w:hAnsi="Arial" w:cs="Arial"/>
          <w:b/>
          <w:sz w:val="24"/>
        </w:rPr>
      </w:pPr>
      <w:r>
        <w:rPr>
          <w:rFonts w:cs="Arial" w:ascii="Arial" w:hAnsi="Arial"/>
          <w:b/>
          <w:color w:val="000000"/>
          <w:sz w:val="24"/>
        </w:rPr>
        <w:t>(Administrative Counsel for Economic Defense)</w:t>
      </w:r>
    </w:p>
    <w:p>
      <w:pPr>
        <w:pStyle w:val="Normal"/>
        <w:ind w:start="720" w:end="0"/>
        <w:jc w:val="both"/>
        <w:rPr/>
      </w:pPr>
      <w:r>
        <w:rPr>
          <w:rFonts w:cs="Arial" w:ascii="Arial" w:hAnsi="Arial"/>
          <w:color w:val="000000"/>
          <w:sz w:val="24"/>
        </w:rPr>
        <w:t>(Caleira Palma Advogados)</w:t>
      </w:r>
      <w:r>
        <w:rPr>
          <w:rFonts w:cs="Arial" w:ascii="Arial" w:hAnsi="Arial"/>
          <w:sz w:val="24"/>
        </w:rPr>
        <w:t xml:space="preserve"> (Enron’s Interest: 33.75%)</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 xml:space="preserve">This matter involves an administrative complaint of abusive pricing filed by four of CEG/Rio's large industrial customers.  CEG/Rio's pricing was approved by the energy regulators.  This is a challenge to the anticompetition regulatory body.  </w:t>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 xml:space="preserve">CADE has issued a temporary order preventing CEG/Rio from collecting its distribution margin.  No decision on the merits has yet been made.  Counsel opine that CEG/Rio should prevail in the case.  </w:t>
      </w:r>
    </w:p>
    <w:p>
      <w:pPr>
        <w:pStyle w:val="Normal"/>
        <w:numPr>
          <w:ilvl w:val="0"/>
          <w:numId w:val="44"/>
        </w:numPr>
        <w:tabs>
          <w:tab w:val="clear" w:pos="720"/>
          <w:tab w:val="left" w:pos="1080" w:leader="none"/>
        </w:tabs>
        <w:ind w:hanging="360" w:start="1080" w:end="0"/>
        <w:jc w:val="both"/>
        <w:rPr>
          <w:rFonts w:ascii="Arial" w:hAnsi="Arial" w:cs="Arial"/>
          <w:sz w:val="24"/>
        </w:rPr>
      </w:pPr>
      <w:r>
        <w:rPr>
          <w:rFonts w:cs="Arial" w:ascii="Arial" w:hAnsi="Arial"/>
          <w:sz w:val="24"/>
        </w:rPr>
        <w:t>CEG/Rio is presently submitting additional information to CADE.  If CEG/Rio ultimately is found to have violated the anticompetition law, it will not be able to recoup its lost revenues (roughly US$9 million 8/8ths for the past two years), but there should be no additional penalty.</w:t>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7740" w:leader="none"/>
          <w:tab w:val="left" w:pos="8370" w:leader="none"/>
        </w:tabs>
        <w:jc w:val="both"/>
        <w:rPr/>
      </w:pPr>
      <w:r>
        <w:rPr>
          <w:rFonts w:cs="Arial" w:ascii="Arial" w:hAnsi="Arial"/>
          <w:sz w:val="24"/>
        </w:rPr>
        <w:tab/>
      </w:r>
      <w:r>
        <w:rPr>
          <w:rFonts w:cs="Arial" w:ascii="Arial" w:hAnsi="Arial"/>
          <w:b/>
          <w:sz w:val="24"/>
        </w:rPr>
        <w:t>CEG/Rio Acquisition Approval</w:t>
        <w:tab/>
        <w:t>(Not Updated)</w:t>
      </w:r>
    </w:p>
    <w:p>
      <w:pPr>
        <w:pStyle w:val="Normal"/>
        <w:tabs>
          <w:tab w:val="left" w:pos="720" w:leader="none"/>
          <w:tab w:val="left" w:pos="7740" w:leader="none"/>
          <w:tab w:val="left" w:pos="8370" w:leader="none"/>
        </w:tabs>
        <w:jc w:val="both"/>
        <w:rPr>
          <w:rFonts w:ascii="Arial" w:hAnsi="Arial" w:cs="Arial"/>
          <w:b/>
          <w:sz w:val="24"/>
        </w:rPr>
      </w:pPr>
      <w:r>
        <w:rPr>
          <w:rFonts w:cs="Arial" w:ascii="Arial" w:hAnsi="Arial"/>
          <w:b/>
          <w:sz w:val="24"/>
        </w:rPr>
      </w:r>
    </w:p>
    <w:p>
      <w:pPr>
        <w:pStyle w:val="Normal"/>
        <w:numPr>
          <w:ilvl w:val="0"/>
          <w:numId w:val="33"/>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The Secretary of Economic Law of the Ministry of Justice (“SDE”) recommended to CADE that CADE approve the acquisitions of CEG and CEG/Rio by Enron and others.</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Enron objects to some of the recommendations and seeks additional information concerning how they will be implemented and the compensation Enron will receive.</w:t>
      </w:r>
    </w:p>
    <w:p>
      <w:pPr>
        <w:pStyle w:val="Normal"/>
        <w:numPr>
          <w:ilvl w:val="0"/>
          <w:numId w:val="17"/>
        </w:numPr>
        <w:tabs>
          <w:tab w:val="clear" w:pos="720"/>
          <w:tab w:val="left" w:pos="1080" w:leader="none"/>
          <w:tab w:val="left" w:pos="1170" w:leader="none"/>
          <w:tab w:val="left" w:pos="7740" w:leader="none"/>
          <w:tab w:val="left" w:pos="8370" w:leader="none"/>
        </w:tabs>
        <w:ind w:hanging="360" w:start="1080" w:end="0"/>
        <w:jc w:val="both"/>
        <w:rPr>
          <w:rFonts w:ascii="Arial" w:hAnsi="Arial" w:cs="Arial"/>
          <w:sz w:val="24"/>
        </w:rPr>
      </w:pPr>
      <w:r>
        <w:rPr>
          <w:rFonts w:cs="Arial" w:ascii="Arial" w:hAnsi="Arial"/>
          <w:sz w:val="24"/>
        </w:rPr>
        <w:t>A CADE representative has indicated that CADE does not intend to adopt SDE's recommendations.</w:t>
      </w:r>
    </w:p>
    <w:p>
      <w:pPr>
        <w:pStyle w:val="Normal"/>
        <w:tabs>
          <w:tab w:val="clear" w:pos="720"/>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720" w:end="0"/>
        <w:jc w:val="center"/>
        <w:rPr>
          <w:rFonts w:ascii="Arial" w:hAnsi="Arial" w:cs="Arial"/>
          <w:b/>
          <w:sz w:val="28"/>
          <w:u w:val="single"/>
        </w:rPr>
      </w:pPr>
      <w:r>
        <w:rPr>
          <w:rFonts w:cs="Arial" w:ascii="Arial" w:hAnsi="Arial"/>
          <w:b/>
          <w:sz w:val="28"/>
          <w:u w:val="single"/>
        </w:rPr>
        <w:t>Gas Trans Boliviano S.A.</w:t>
      </w:r>
    </w:p>
    <w:p>
      <w:pPr>
        <w:pStyle w:val="Normal"/>
        <w:keepNext w:val="true"/>
        <w:keepLines/>
        <w:tabs>
          <w:tab w:val="clear" w:pos="720"/>
          <w:tab w:val="left" w:pos="7740" w:leader="none"/>
        </w:tabs>
        <w:ind w:start="720" w:end="0"/>
        <w:jc w:val="center"/>
        <w:rPr>
          <w:rFonts w:ascii="Arial" w:hAnsi="Arial" w:cs="Arial"/>
          <w:sz w:val="24"/>
        </w:rPr>
      </w:pPr>
      <w:r>
        <w:rPr>
          <w:rFonts w:cs="Arial" w:ascii="Arial" w:hAnsi="Arial"/>
          <w:sz w:val="24"/>
        </w:rPr>
        <w:t>(Bolivia)</w:t>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r>
    </w:p>
    <w:p>
      <w:pPr>
        <w:pStyle w:val="Normal"/>
        <w:keepNext w:val="true"/>
        <w:keepLines/>
        <w:numPr>
          <w:ilvl w:val="0"/>
          <w:numId w:val="61"/>
        </w:numPr>
        <w:jc w:val="both"/>
        <w:rPr>
          <w:rFonts w:ascii="Arial" w:hAnsi="Arial" w:cs="Arial"/>
          <w:b/>
          <w:sz w:val="24"/>
        </w:rPr>
      </w:pPr>
      <w:r>
        <w:rPr>
          <w:rFonts w:cs="Arial" w:ascii="Arial" w:hAnsi="Arial"/>
          <w:b/>
          <w:sz w:val="24"/>
        </w:rPr>
        <w:t>LITIGATION/ARBITRATION</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pPr>
      <w:r>
        <w:rPr>
          <w:rFonts w:cs="Arial" w:ascii="Arial" w:hAnsi="Arial"/>
          <w:b/>
          <w:sz w:val="24"/>
        </w:rPr>
        <w:tab/>
      </w:r>
      <w:r>
        <w:rPr>
          <w:rFonts w:cs="Arial" w:ascii="Arial" w:hAnsi="Arial"/>
          <w:sz w:val="24"/>
        </w:rPr>
        <w:t>None</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jc w:val="both"/>
        <w:rPr>
          <w:rFonts w:ascii="Arial" w:hAnsi="Arial" w:cs="Arial"/>
          <w:b/>
          <w:sz w:val="24"/>
        </w:rPr>
      </w:pPr>
      <w:r>
        <w:rPr>
          <w:rFonts w:cs="Arial" w:ascii="Arial" w:hAnsi="Arial"/>
          <w:b/>
          <w:sz w:val="24"/>
        </w:rPr>
      </w:r>
    </w:p>
    <w:p>
      <w:pPr>
        <w:pStyle w:val="Heading5"/>
        <w:numPr>
          <w:ilvl w:val="0"/>
          <w:numId w:val="6"/>
        </w:numPr>
        <w:rPr/>
      </w:pPr>
      <w:r>
        <w:rPr/>
        <w:t>CLAIMS/DISPUTES</w:t>
      </w:r>
    </w:p>
    <w:p>
      <w:pPr>
        <w:pStyle w:val="Normal"/>
        <w:keepNext w:val="true"/>
        <w:keepLines/>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jc w:val="both"/>
        <w:rPr>
          <w:rFonts w:ascii="Arial" w:hAnsi="Arial" w:cs="Arial"/>
          <w:b/>
          <w:sz w:val="24"/>
        </w:rPr>
      </w:pPr>
      <w:r>
        <w:rPr>
          <w:rFonts w:cs="Arial" w:ascii="Arial" w:hAnsi="Arial"/>
          <w:b/>
          <w:sz w:val="24"/>
        </w:rPr>
        <w:t>Gas Trans Boliviano S.A. (“GTB”) Construction Dispute</w:t>
        <w:tab/>
        <w:t>(Updated)</w:t>
      </w:r>
    </w:p>
    <w:p>
      <w:pPr>
        <w:pStyle w:val="Normal"/>
        <w:keepNext w:val="true"/>
        <w:keepLines/>
        <w:tabs>
          <w:tab w:val="clear" w:pos="720"/>
          <w:tab w:val="left" w:pos="7740" w:leader="none"/>
          <w:tab w:val="left" w:pos="8370" w:leader="none"/>
        </w:tabs>
        <w:ind w:start="720" w:end="0"/>
        <w:rPr>
          <w:rFonts w:ascii="Arial" w:hAnsi="Arial" w:cs="Arial"/>
          <w:sz w:val="24"/>
        </w:rPr>
      </w:pPr>
      <w:r>
        <w:rPr>
          <w:rFonts w:cs="Arial" w:ascii="Arial" w:hAnsi="Arial"/>
          <w:sz w:val="24"/>
        </w:rPr>
        <w:t>(US$31 million) (Enron’s Interest:  approximately 30%)</w:t>
      </w:r>
    </w:p>
    <w:p>
      <w:pPr>
        <w:pStyle w:val="Normal"/>
        <w:tabs>
          <w:tab w:val="clear" w:pos="720"/>
          <w:tab w:val="left" w:pos="7740" w:leader="none"/>
        </w:tabs>
        <w:rPr>
          <w:rFonts w:ascii="Arial" w:hAnsi="Arial" w:cs="Arial"/>
          <w:sz w:val="24"/>
        </w:rPr>
      </w:pPr>
      <w:r>
        <w:rPr>
          <w:rFonts w:cs="Arial" w:ascii="Arial" w:hAnsi="Arial"/>
          <w:sz w:val="24"/>
        </w:rPr>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GTB has a dispute arising from an EPC turnkey contract with Petroleo Brasilero S.A. (Petrobras) whereby Petrobras was to provide design, engineering, procurement, and construction services for the Bolivian sector of the Bolivia-Brazil Natural Gas Pipeline.  </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GTB claims that Petrobras did not satisfactorily complete specific aspects of the scope of work in conformance with the contractual requirements and seeks an equitable credit adjustment to the contract value for</w:t>
      </w:r>
      <w:r>
        <w:rPr/>
        <w:t xml:space="preserve"> </w:t>
      </w:r>
      <w:r>
        <w:rPr>
          <w:rFonts w:cs="Arial" w:ascii="Arial" w:hAnsi="Arial"/>
          <w:sz w:val="24"/>
        </w:rPr>
        <w:t xml:space="preserve">US$4,000,000.  Petrobras, claims that GTB owes it delay damages under the contract. </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Petrobras’ latest demand for US$31,000,000 was rejected by GTB.</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No arbitration demand has been made at this time. </w:t>
      </w:r>
    </w:p>
    <w:p>
      <w:pPr>
        <w:pStyle w:val="Normal"/>
        <w:numPr>
          <w:ilvl w:val="0"/>
          <w:numId w:val="71"/>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GTB recently offered to take over the pipeline and finish all remaining construction with the $7 million retainage in exchange for Petrobras to forego its construction claims.  Petrobras has not yet responded to the offer.</w:t>
      </w:r>
    </w:p>
    <w:p>
      <w:pPr>
        <w:pStyle w:val="Normal"/>
        <w:tabs>
          <w:tab w:val="clear" w:pos="720"/>
          <w:tab w:val="left" w:pos="7740" w:leader="none"/>
        </w:tabs>
        <w:rPr>
          <w:rFonts w:ascii="Arial" w:hAnsi="Arial" w:cs="Arial"/>
          <w:b/>
          <w:sz w:val="24"/>
        </w:rPr>
      </w:pPr>
      <w:r>
        <w:rPr>
          <w:rFonts w:cs="Arial" w:ascii="Arial" w:hAnsi="Arial"/>
          <w:b/>
          <w:sz w:val="24"/>
        </w:rPr>
      </w:r>
    </w:p>
    <w:p>
      <w:pPr>
        <w:pStyle w:val="Normal"/>
        <w:keepNext w:val="true"/>
        <w:keepLines/>
        <w:ind w:start="720" w:end="0"/>
        <w:jc w:val="center"/>
        <w:rPr>
          <w:rFonts w:ascii="Arial" w:hAnsi="Arial" w:cs="Arial"/>
          <w:b/>
          <w:sz w:val="28"/>
          <w:u w:val="single"/>
        </w:rPr>
      </w:pPr>
      <w:r>
        <w:rPr>
          <w:rFonts w:cs="Arial" w:ascii="Arial" w:hAnsi="Arial"/>
          <w:b/>
          <w:sz w:val="28"/>
          <w:u w:val="single"/>
        </w:rPr>
        <w:t>Centragas</w:t>
      </w:r>
    </w:p>
    <w:p>
      <w:pPr>
        <w:pStyle w:val="Normal"/>
        <w:keepNext w:val="true"/>
        <w:keepLines/>
        <w:ind w:start="720" w:end="0"/>
        <w:jc w:val="center"/>
        <w:rPr>
          <w:rFonts w:ascii="Arial" w:hAnsi="Arial" w:cs="Arial"/>
          <w:sz w:val="24"/>
        </w:rPr>
      </w:pPr>
      <w:r>
        <w:rPr>
          <w:rFonts w:cs="Arial" w:ascii="Arial" w:hAnsi="Arial"/>
          <w:sz w:val="24"/>
        </w:rPr>
        <w:t>(Colombia)</w:t>
      </w:r>
    </w:p>
    <w:p>
      <w:pPr>
        <w:pStyle w:val="Normal"/>
        <w:keepNext w:val="true"/>
        <w:keepLines/>
        <w:ind w:start="720" w:end="0"/>
        <w:jc w:val="center"/>
        <w:rPr>
          <w:rFonts w:ascii="Arial" w:hAnsi="Arial" w:cs="Arial"/>
          <w:sz w:val="24"/>
          <w:u w:val="single"/>
        </w:rPr>
      </w:pPr>
      <w:r>
        <w:rPr>
          <w:rFonts w:cs="Arial" w:ascii="Arial" w:hAnsi="Arial"/>
          <w:sz w:val="24"/>
          <w:u w:val="single"/>
        </w:rPr>
      </w:r>
    </w:p>
    <w:p>
      <w:pPr>
        <w:pStyle w:val="Heading5"/>
        <w:keepLines/>
        <w:ind w:hanging="0" w:start="0"/>
        <w:rPr/>
      </w:pPr>
      <w:r>
        <w:rPr/>
        <w:t>I.</w:t>
        <w:tab/>
        <w:t>LITIGATION/ARBITRATION</w:t>
      </w:r>
    </w:p>
    <w:p>
      <w:pPr>
        <w:pStyle w:val="Normal"/>
        <w:keepNext w:val="true"/>
        <w:keepLines/>
        <w:tabs>
          <w:tab w:val="clear" w:pos="720"/>
          <w:tab w:val="left" w:pos="1080" w:leader="none"/>
        </w:tabs>
        <w:ind w:hanging="360" w:start="108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rPr>
          <w:u w:val="single"/>
        </w:rPr>
      </w:pPr>
      <w:r>
        <w:rPr>
          <w:u w:val="single"/>
        </w:rPr>
        <w:t>Centragas v. Techint</w:t>
      </w:r>
      <w:r>
        <w:rPr/>
        <w:tab/>
        <w:t>(Updated)</w:t>
      </w:r>
    </w:p>
    <w:p>
      <w:pPr>
        <w:pStyle w:val="BodyText"/>
        <w:keepNext w:val="true"/>
        <w:keepLines/>
        <w:tabs>
          <w:tab w:val="clear" w:pos="720"/>
          <w:tab w:val="left" w:pos="7740" w:leader="none"/>
          <w:tab w:val="left" w:pos="8370" w:leader="none"/>
        </w:tabs>
        <w:ind w:start="720" w:end="0"/>
        <w:jc w:val="start"/>
        <w:rPr/>
      </w:pPr>
      <w:r>
        <w:rPr/>
        <w:t>(ICC Arbitration) (John Gardiner/Skadden Arps, Augusto Figueroa/Figueroa Sierra Guarin y Asociados) ($2.8 million plus interest) (Enron’s Interest: 75%)</w:t>
      </w:r>
    </w:p>
    <w:p>
      <w:pPr>
        <w:pStyle w:val="BodyText"/>
        <w:keepNext w:val="true"/>
        <w:keepLines/>
        <w:tabs>
          <w:tab w:val="clear" w:pos="720"/>
          <w:tab w:val="left" w:pos="1080" w:leader="none"/>
          <w:tab w:val="left" w:pos="7740" w:leader="none"/>
          <w:tab w:val="left" w:pos="8370" w:leader="none"/>
        </w:tabs>
        <w:ind w:hanging="360" w:start="1080" w:end="0"/>
        <w:jc w:val="start"/>
        <w:rPr/>
      </w:pPr>
      <w:r>
        <w:rPr/>
      </w:r>
    </w:p>
    <w:p>
      <w:pPr>
        <w:pStyle w:val="Normal"/>
        <w:keepNext w:val="true"/>
        <w:keepLines/>
        <w:numPr>
          <w:ilvl w:val="0"/>
          <w:numId w:val="26"/>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On October 5, 1999, Centragas served its notice of arbitration based on a dispute between Centragas and one of its contractors, Techint, arising from the construction of a pipeline in Colombia to transport gas for Ecopetrol.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Centragas previously overpaid Techint $2.1 million.  Centragas now seeks to recover that payment and an additional $700,000 incurred by</w:t>
      </w:r>
      <w:r>
        <w:rPr>
          <w:rFonts w:cs="Arial" w:ascii="Arial" w:hAnsi="Arial"/>
          <w:b/>
          <w:sz w:val="24"/>
        </w:rPr>
        <w:t xml:space="preserve"> </w:t>
      </w:r>
      <w:r>
        <w:rPr>
          <w:rFonts w:cs="Arial" w:ascii="Arial" w:hAnsi="Arial"/>
          <w:sz w:val="24"/>
        </w:rPr>
        <w:t xml:space="preserve">Centragas in a dispute with Ecopetrol because of problems with the pipeline.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Techint has retained White &amp; Case and filed its answer denying these claims on December 13, 1999.</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Centragas has designated Gerald Asken of Ried &amp; Priest as its arbitrator; Techint designated Don Donovan.  </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parties have agreed to appoint Henri Alvarez of Canada to preside over the panel.  The ICC approved this appointment and Mr. Alvarez has accepted.</w:t>
      </w:r>
    </w:p>
    <w:p>
      <w:pPr>
        <w:pStyle w:val="Normal"/>
        <w:numPr>
          <w:ilvl w:val="0"/>
          <w:numId w:val="39"/>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A settlement conference held on May 30 failed to result in settlement.</w:t>
      </w:r>
    </w:p>
    <w:p>
      <w:pPr>
        <w:pStyle w:val="Normal"/>
        <w:numPr>
          <w:ilvl w:val="0"/>
          <w:numId w:val="59"/>
        </w:numPr>
        <w:ind w:hanging="360" w:start="1080" w:end="0"/>
        <w:rPr>
          <w:rFonts w:ascii="Arial" w:hAnsi="Arial" w:cs="Arial"/>
          <w:sz w:val="24"/>
        </w:rPr>
      </w:pPr>
      <w:r>
        <w:rPr>
          <w:rFonts w:cs="Arial" w:ascii="Arial" w:hAnsi="Arial"/>
          <w:sz w:val="24"/>
        </w:rPr>
        <w:t>Centragas filed the witness statement of Lew May and awaits Techinct’s response.</w:t>
      </w:r>
    </w:p>
    <w:p>
      <w:pPr>
        <w:pStyle w:val="Normal"/>
        <w:numPr>
          <w:ilvl w:val="0"/>
          <w:numId w:val="59"/>
        </w:numPr>
        <w:ind w:hanging="360" w:start="1080" w:end="0"/>
        <w:rPr>
          <w:rFonts w:ascii="Arial" w:hAnsi="Arial" w:cs="Arial"/>
          <w:sz w:val="24"/>
        </w:rPr>
      </w:pPr>
      <w:r>
        <w:rPr>
          <w:rFonts w:cs="Arial" w:ascii="Arial" w:hAnsi="Arial"/>
          <w:sz w:val="24"/>
        </w:rPr>
        <w:t>Techint filed its response on August 10, 2000 to which Centragas will reply.</w:t>
      </w:r>
    </w:p>
    <w:p>
      <w:pPr>
        <w:pStyle w:val="Normal"/>
        <w:numPr>
          <w:ilvl w:val="0"/>
          <w:numId w:val="59"/>
        </w:numPr>
        <w:ind w:hanging="360" w:start="1080" w:end="0"/>
        <w:rPr>
          <w:rFonts w:ascii="Arial" w:hAnsi="Arial" w:cs="Arial"/>
          <w:sz w:val="24"/>
        </w:rPr>
      </w:pPr>
      <w:r>
        <w:rPr>
          <w:rFonts w:cs="Arial" w:ascii="Arial" w:hAnsi="Arial"/>
          <w:sz w:val="24"/>
        </w:rPr>
        <w:t xml:space="preserve">The arbitration has been rescheduled to </w:t>
      </w:r>
      <w:r>
        <w:rPr>
          <w:rFonts w:cs="Arial" w:ascii="Arial" w:hAnsi="Arial"/>
          <w:b/>
          <w:sz w:val="24"/>
        </w:rPr>
        <w:t>December 11, 2000</w:t>
      </w:r>
      <w:r>
        <w:rPr>
          <w:rFonts w:cs="Arial" w:ascii="Arial" w:hAnsi="Arial"/>
          <w:sz w:val="24"/>
        </w:rPr>
        <w:t xml:space="preserve"> at the arbitrators’ request.</w:t>
      </w:r>
    </w:p>
    <w:p>
      <w:pPr>
        <w:pStyle w:val="Heading5"/>
        <w:keepNext w:val="false"/>
        <w:tabs>
          <w:tab w:val="clear" w:pos="720"/>
          <w:tab w:val="left" w:pos="540" w:leader="none"/>
          <w:tab w:val="left" w:pos="7740" w:leader="none"/>
        </w:tabs>
        <w:ind w:hanging="540" w:start="540" w:end="0"/>
        <w:rPr>
          <w:rFonts w:ascii="Arial" w:hAnsi="Arial" w:cs="Arial"/>
          <w:sz w:val="24"/>
        </w:rPr>
      </w:pPr>
      <w:r>
        <w:rPr>
          <w:rFonts w:cs="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Promigas</w:t>
      </w:r>
    </w:p>
    <w:p>
      <w:pPr>
        <w:pStyle w:val="Normal"/>
        <w:jc w:val="center"/>
        <w:rPr>
          <w:rFonts w:ascii="Arial" w:hAnsi="Arial" w:cs="Arial"/>
          <w:sz w:val="24"/>
        </w:rPr>
      </w:pPr>
      <w:r>
        <w:rPr>
          <w:rFonts w:cs="Arial" w:ascii="Arial" w:hAnsi="Arial"/>
          <w:sz w:val="24"/>
        </w:rPr>
        <w:t>(Colombia)</w:t>
      </w:r>
    </w:p>
    <w:p>
      <w:pPr>
        <w:pStyle w:val="Normal"/>
        <w:jc w:val="center"/>
        <w:rPr>
          <w:rFonts w:ascii="Arial" w:hAnsi="Arial" w:cs="Arial"/>
          <w:sz w:val="28"/>
          <w:u w:val="single"/>
        </w:rPr>
      </w:pPr>
      <w:r>
        <w:rPr>
          <w:rFonts w:cs="Arial" w:ascii="Arial" w:hAnsi="Arial"/>
          <w:sz w:val="28"/>
          <w:u w:val="single"/>
        </w:rPr>
      </w:r>
    </w:p>
    <w:p>
      <w:pPr>
        <w:pStyle w:val="Heading5"/>
        <w:keepNext w:val="false"/>
        <w:ind w:hanging="0" w:start="0"/>
        <w:rPr/>
      </w:pPr>
      <w:r>
        <w:rPr/>
        <w:t>I.</w:t>
        <w:tab/>
        <w:t>LITIGATION/ARBITRATION</w:t>
      </w:r>
    </w:p>
    <w:p>
      <w:pPr>
        <w:pStyle w:val="Heading5"/>
        <w:keepNext w:val="false"/>
        <w:ind w:hanging="0" w:start="0"/>
        <w:rPr/>
      </w:pPr>
      <w:r>
        <w:rPr/>
      </w:r>
    </w:p>
    <w:p>
      <w:pPr>
        <w:pStyle w:val="Heading5"/>
        <w:keepNext w:val="false"/>
        <w:tabs>
          <w:tab w:val="clear" w:pos="720"/>
          <w:tab w:val="left" w:pos="7740" w:leader="none"/>
        </w:tabs>
        <w:ind w:hanging="0" w:start="720" w:end="0"/>
        <w:rPr>
          <w:u w:val="single"/>
        </w:rPr>
      </w:pPr>
      <w:r>
        <w:rPr>
          <w:u w:val="single"/>
        </w:rPr>
        <w:t>Promigas Pipeline Explosion</w:t>
      </w:r>
      <w:r>
        <w:rPr/>
        <w:tab/>
        <w:t>(Not Updated)</w:t>
      </w:r>
    </w:p>
    <w:p>
      <w:pPr>
        <w:pStyle w:val="Heading9"/>
        <w:keepNext w:val="false"/>
        <w:tabs>
          <w:tab w:val="clear" w:pos="720"/>
          <w:tab w:val="left" w:pos="7740" w:leader="none"/>
          <w:tab w:val="left" w:pos="8370" w:leader="none"/>
        </w:tabs>
        <w:ind w:hanging="0" w:start="720" w:end="0"/>
        <w:jc w:val="start"/>
        <w:rPr/>
      </w:pPr>
      <w:r>
        <w:rPr/>
        <w:t>(Vinson &amp; Elkins) (Yesid Reyes) (Enron’s Interest: 10%)</w:t>
      </w:r>
    </w:p>
    <w:p>
      <w:pPr>
        <w:pStyle w:val="Header"/>
        <w:tabs>
          <w:tab w:val="clear" w:pos="4320"/>
          <w:tab w:val="clear" w:pos="8640"/>
        </w:tabs>
        <w:rPr/>
      </w:pPr>
      <w:r>
        <w:rPr/>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On December 27, 1998 an explosion occurred on the Promigas pipeline.  </w:t>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14 people died as a result of the explosion. </w:t>
      </w:r>
    </w:p>
    <w:p>
      <w:pPr>
        <w:pStyle w:val="Header"/>
        <w:numPr>
          <w:ilvl w:val="0"/>
          <w:numId w:val="2"/>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Promigas has settled all personal injury and property damages claims.</w:t>
      </w:r>
    </w:p>
    <w:p>
      <w:pPr>
        <w:pStyle w:val="Header"/>
        <w:numPr>
          <w:ilvl w:val="0"/>
          <w:numId w:val="7"/>
        </w:numPr>
        <w:tabs>
          <w:tab w:val="clear" w:pos="4320"/>
          <w:tab w:val="clear" w:pos="864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The attorney general has opened a formal criminal investigation to determine whether to prosecute the Promigas vice-president and the manager of operations and maintenance for negligent homicide.</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t>M</w:t>
      </w:r>
      <w:r>
        <w:rPr>
          <w:rFonts w:cs="Arial" w:ascii="Arial" w:hAnsi="Arial"/>
          <w:sz w:val="24"/>
        </w:rPr>
        <w:t>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20</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/mnt/main-storage/datasets/enron-docs/doc/SoAmerica_Oct-f6f262d2068b490317cee86ad5083cfd6a960a387246aeb573fd65879a8e37a5.doc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/mnt/main-storage/datasets/enron-docs/doc/SoAmerica_Oct-f6f262d2068b490317cee86ad5083cfd6a960a387246aeb573fd65879a8e37a5.doc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upperRoman"/>
      <w:lvlText w:val="%1."/>
      <w:lvlJc w:val="start"/>
      <w:pPr>
        <w:tabs>
          <w:tab w:val="num" w:pos="720"/>
        </w:tabs>
        <w:ind w:start="72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Roman"/>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upperRoman"/>
      <w:lvlText w:val="%1."/>
      <w:lvlJc w:val="start"/>
      <w:pPr>
        <w:tabs>
          <w:tab w:val="num" w:pos="720"/>
        </w:tabs>
        <w:ind w:start="720" w:hanging="720"/>
      </w:pPr>
      <w:rPr/>
    </w:lvl>
  </w:abstractNum>
  <w:abstractNum w:abstractNumId="16">
    <w:lvl w:ilvl="0">
      <w:start w:val="1"/>
      <w:numFmt w:val="upperRoman"/>
      <w:lvlText w:val="%1."/>
      <w:lvlJc w:val="start"/>
      <w:pPr>
        <w:tabs>
          <w:tab w:val="num" w:pos="720"/>
        </w:tabs>
        <w:ind w:start="720" w:hanging="72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upperRoman"/>
      <w:lvlText w:val="%1."/>
      <w:lvlJc w:val="start"/>
      <w:pPr>
        <w:tabs>
          <w:tab w:val="num" w:pos="720"/>
        </w:tabs>
        <w:ind w:start="720" w:hanging="720"/>
      </w:pPr>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upperRoman"/>
      <w:lvlText w:val="%1."/>
      <w:lvlJc w:val="start"/>
      <w:pPr>
        <w:tabs>
          <w:tab w:val="num" w:pos="720"/>
        </w:tabs>
        <w:ind w:start="720" w:hanging="720"/>
      </w:pPr>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upperRoman"/>
      <w:lvlText w:val="%1."/>
      <w:lvlJc w:val="start"/>
      <w:pPr>
        <w:tabs>
          <w:tab w:val="num" w:pos="720"/>
        </w:tabs>
        <w:ind w:start="720" w:hanging="720"/>
      </w:pPr>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upperRoman"/>
      <w:lvlText w:val="%1."/>
      <w:lvlJc w:val="start"/>
      <w:pPr>
        <w:tabs>
          <w:tab w:val="num" w:pos="720"/>
        </w:tabs>
        <w:ind w:start="720" w:hanging="720"/>
      </w:pPr>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2"/>
      <w:numFmt w:val="upperRoman"/>
      <w:lvlText w:val="%1."/>
      <w:lvlJc w:val="start"/>
      <w:pPr>
        <w:tabs>
          <w:tab w:val="num" w:pos="720"/>
        </w:tabs>
        <w:ind w:start="720" w:hanging="720"/>
      </w:pPr>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16"/>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b/>
      <w:i w:val="false"/>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16"/>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color w:val="auto"/>
      <w:sz w:val="16"/>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color w:val="auto"/>
      <w:sz w:val="16"/>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80z0">
    <w:name w:val="WW8Num280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b/>
      <w:i w:val="false"/>
    </w:rPr>
  </w:style>
  <w:style w:type="character" w:styleId="WW8Num347z0">
    <w:name w:val="WW8Num347z0"/>
    <w:qFormat/>
    <w:rPr>
      <w:rFonts w:ascii="Symbol" w:hAnsi="Symbol" w:cs="Symbol"/>
    </w:rPr>
  </w:style>
  <w:style w:type="character" w:styleId="WW8Num348z0">
    <w:name w:val="WW8Num348z0"/>
    <w:qFormat/>
    <w:rPr>
      <w:rFonts w:ascii="Symbol" w:hAnsi="Symbol" w:cs="Symbol"/>
      <w:color w:val="auto"/>
      <w:sz w:val="16"/>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keepNext w:val="true"/>
      <w:keepLines/>
      <w:ind w:firstLine="720" w:start="0" w:end="0"/>
      <w:jc w:val="both"/>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2000-10-04T12:09:00Z</dcterms:created>
  <dc:creator>llee</dc:creator>
  <dc:description/>
  <dc:language>en-CA</dc:language>
  <cp:lastModifiedBy>EI</cp:lastModifiedBy>
  <cp:lastPrinted>2000-10-16T16:00:00Z</cp:lastPrinted>
  <dcterms:modified xsi:type="dcterms:W3CDTF">2000-10-16T18:32:00Z</dcterms:modified>
  <cp:revision>25</cp:revision>
  <dc:subject/>
  <dc:title> </dc:title>
</cp:coreProperties>
</file>